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28B3" w14:textId="77777777" w:rsidR="00E0011B" w:rsidRDefault="318CA580" w:rsidP="318CA580">
      <w:pPr>
        <w:spacing w:after="40"/>
        <w:rPr>
          <w:rFonts w:ascii="Arial" w:eastAsia="Arial" w:hAnsi="Arial" w:cs="Arial"/>
          <w:b/>
          <w:bCs/>
          <w:sz w:val="24"/>
          <w:szCs w:val="24"/>
        </w:rPr>
      </w:pPr>
      <w:r w:rsidRPr="318CA580">
        <w:rPr>
          <w:rFonts w:ascii="Arial" w:eastAsia="Arial" w:hAnsi="Arial" w:cs="Arial"/>
          <w:b/>
          <w:bCs/>
          <w:sz w:val="24"/>
          <w:szCs w:val="24"/>
        </w:rPr>
        <w:t>Job Description</w:t>
      </w:r>
    </w:p>
    <w:p w14:paraId="6B7762FE" w14:textId="77777777" w:rsidR="00E0011B" w:rsidRDefault="318CA580" w:rsidP="318CA580">
      <w:pPr>
        <w:rPr>
          <w:rFonts w:ascii="Arial" w:eastAsia="Arial" w:hAnsi="Arial" w:cs="Arial"/>
          <w:b/>
          <w:bCs/>
          <w:szCs w:val="20"/>
        </w:rPr>
      </w:pPr>
      <w:r w:rsidRPr="318CA580">
        <w:rPr>
          <w:rFonts w:ascii="Arial" w:eastAsia="Arial" w:hAnsi="Arial" w:cs="Arial"/>
          <w:b/>
          <w:bCs/>
          <w:szCs w:val="20"/>
        </w:rPr>
        <w:t>NHS Professionals</w:t>
      </w:r>
    </w:p>
    <w:tbl>
      <w:tblPr>
        <w:tblStyle w:val="TableGrid"/>
        <w:tblW w:w="0" w:type="auto"/>
        <w:tblLook w:val="04A0" w:firstRow="1" w:lastRow="0" w:firstColumn="1" w:lastColumn="0" w:noHBand="0" w:noVBand="1"/>
      </w:tblPr>
      <w:tblGrid>
        <w:gridCol w:w="2285"/>
        <w:gridCol w:w="7785"/>
      </w:tblGrid>
      <w:tr w:rsidR="00E0011B" w14:paraId="2694787D" w14:textId="77777777" w:rsidTr="1D4CD73F">
        <w:tc>
          <w:tcPr>
            <w:tcW w:w="2304" w:type="dxa"/>
            <w:shd w:val="clear" w:color="auto" w:fill="F2F2F2"/>
            <w:vAlign w:val="center"/>
          </w:tcPr>
          <w:p w14:paraId="73FAC522"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Job Title</w:t>
            </w:r>
          </w:p>
        </w:tc>
        <w:tc>
          <w:tcPr>
            <w:tcW w:w="7920" w:type="dxa"/>
            <w:vAlign w:val="center"/>
          </w:tcPr>
          <w:p w14:paraId="16FC43B3" w14:textId="38D716A0" w:rsidR="1D4CD73F" w:rsidRDefault="1D4CD73F" w:rsidP="1D4CD73F">
            <w:r w:rsidRPr="1D4CD73F">
              <w:rPr>
                <w:rFonts w:ascii="Arial" w:eastAsia="Arial" w:hAnsi="Arial" w:cs="Arial"/>
                <w:b/>
                <w:bCs/>
                <w:color w:val="000000" w:themeColor="text1"/>
                <w:sz w:val="19"/>
                <w:szCs w:val="19"/>
              </w:rPr>
              <w:t>IT Asset Manager</w:t>
            </w:r>
          </w:p>
        </w:tc>
      </w:tr>
      <w:tr w:rsidR="00E0011B" w14:paraId="687F2A61" w14:textId="77777777" w:rsidTr="1D4CD73F">
        <w:tc>
          <w:tcPr>
            <w:tcW w:w="2304" w:type="dxa"/>
            <w:shd w:val="clear" w:color="auto" w:fill="F2F2F2"/>
            <w:vAlign w:val="center"/>
          </w:tcPr>
          <w:p w14:paraId="50E1B160"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Grade</w:t>
            </w:r>
          </w:p>
        </w:tc>
        <w:tc>
          <w:tcPr>
            <w:tcW w:w="7920" w:type="dxa"/>
            <w:vAlign w:val="center"/>
          </w:tcPr>
          <w:p w14:paraId="4959EAB6" w14:textId="77777777" w:rsidR="00E0011B" w:rsidRDefault="318CA580" w:rsidP="318CA580">
            <w:pPr>
              <w:spacing w:after="40"/>
              <w:rPr>
                <w:rFonts w:ascii="Arial" w:eastAsia="Arial" w:hAnsi="Arial" w:cs="Arial"/>
                <w:color w:val="000000" w:themeColor="text1"/>
                <w:sz w:val="19"/>
                <w:szCs w:val="19"/>
              </w:rPr>
            </w:pPr>
            <w:r w:rsidRPr="318CA580">
              <w:rPr>
                <w:rFonts w:ascii="Arial" w:eastAsia="Arial" w:hAnsi="Arial" w:cs="Arial"/>
                <w:color w:val="000000"/>
                <w:sz w:val="19"/>
                <w:szCs w:val="19"/>
              </w:rPr>
              <w:t>TBC / NHS Band 7-8a equivalent</w:t>
            </w:r>
          </w:p>
        </w:tc>
      </w:tr>
      <w:tr w:rsidR="00E0011B" w14:paraId="2929DE87" w14:textId="77777777" w:rsidTr="1D4CD73F">
        <w:tc>
          <w:tcPr>
            <w:tcW w:w="2304" w:type="dxa"/>
            <w:shd w:val="clear" w:color="auto" w:fill="F2F2F2"/>
            <w:vAlign w:val="center"/>
          </w:tcPr>
          <w:p w14:paraId="1D2B207C"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Location</w:t>
            </w:r>
          </w:p>
        </w:tc>
        <w:tc>
          <w:tcPr>
            <w:tcW w:w="7920" w:type="dxa"/>
            <w:vAlign w:val="center"/>
          </w:tcPr>
          <w:p w14:paraId="49ECF422" w14:textId="3FC0749D" w:rsidR="00E0011B" w:rsidRDefault="4D7ECE20" w:rsidP="318CA580">
            <w:pPr>
              <w:spacing w:after="40"/>
              <w:rPr>
                <w:rFonts w:ascii="Arial" w:eastAsia="Arial" w:hAnsi="Arial" w:cs="Arial"/>
                <w:color w:val="000000" w:themeColor="text1"/>
                <w:sz w:val="19"/>
                <w:szCs w:val="19"/>
              </w:rPr>
            </w:pPr>
            <w:r w:rsidRPr="318CA580">
              <w:rPr>
                <w:rFonts w:ascii="Arial" w:eastAsia="Arial" w:hAnsi="Arial" w:cs="Arial"/>
                <w:color w:val="000000" w:themeColor="text1"/>
                <w:sz w:val="19"/>
                <w:szCs w:val="19"/>
              </w:rPr>
              <w:t>Hemel Hempstead</w:t>
            </w:r>
          </w:p>
        </w:tc>
      </w:tr>
      <w:tr w:rsidR="00E0011B" w14:paraId="6529534E" w14:textId="77777777" w:rsidTr="1D4CD73F">
        <w:tc>
          <w:tcPr>
            <w:tcW w:w="2304" w:type="dxa"/>
            <w:shd w:val="clear" w:color="auto" w:fill="F2F2F2"/>
            <w:vAlign w:val="center"/>
          </w:tcPr>
          <w:p w14:paraId="5974DD96"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Responsible To</w:t>
            </w:r>
          </w:p>
        </w:tc>
        <w:tc>
          <w:tcPr>
            <w:tcW w:w="7920" w:type="dxa"/>
            <w:vAlign w:val="center"/>
          </w:tcPr>
          <w:p w14:paraId="5BD48661" w14:textId="77777777" w:rsidR="00E0011B" w:rsidRDefault="318CA580" w:rsidP="318CA580">
            <w:pPr>
              <w:spacing w:after="40"/>
              <w:rPr>
                <w:rFonts w:ascii="Arial" w:eastAsia="Arial" w:hAnsi="Arial" w:cs="Arial"/>
                <w:color w:val="000000" w:themeColor="text1"/>
                <w:sz w:val="19"/>
                <w:szCs w:val="19"/>
              </w:rPr>
            </w:pPr>
            <w:r w:rsidRPr="318CA580">
              <w:rPr>
                <w:rFonts w:ascii="Arial" w:eastAsia="Arial" w:hAnsi="Arial" w:cs="Arial"/>
                <w:color w:val="000000"/>
                <w:sz w:val="19"/>
                <w:szCs w:val="19"/>
              </w:rPr>
              <w:t>Head of IT Service Delivery</w:t>
            </w:r>
          </w:p>
        </w:tc>
      </w:tr>
      <w:tr w:rsidR="00E0011B" w14:paraId="07E3EE56" w14:textId="77777777" w:rsidTr="1D4CD73F">
        <w:tc>
          <w:tcPr>
            <w:tcW w:w="2304" w:type="dxa"/>
            <w:shd w:val="clear" w:color="auto" w:fill="F2F2F2"/>
            <w:vAlign w:val="center"/>
          </w:tcPr>
          <w:p w14:paraId="6749B0AF"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Accountable To</w:t>
            </w:r>
          </w:p>
        </w:tc>
        <w:tc>
          <w:tcPr>
            <w:tcW w:w="7920" w:type="dxa"/>
            <w:vAlign w:val="center"/>
          </w:tcPr>
          <w:p w14:paraId="454FC5AB" w14:textId="77777777" w:rsidR="00E0011B" w:rsidRDefault="318CA580" w:rsidP="318CA580">
            <w:pPr>
              <w:spacing w:after="40"/>
              <w:rPr>
                <w:rFonts w:ascii="Arial" w:eastAsia="Arial" w:hAnsi="Arial" w:cs="Arial"/>
                <w:color w:val="000000" w:themeColor="text1"/>
                <w:sz w:val="19"/>
                <w:szCs w:val="19"/>
              </w:rPr>
            </w:pPr>
            <w:r w:rsidRPr="318CA580">
              <w:rPr>
                <w:rFonts w:ascii="Arial" w:eastAsia="Arial" w:hAnsi="Arial" w:cs="Arial"/>
                <w:color w:val="000000"/>
                <w:sz w:val="19"/>
                <w:szCs w:val="19"/>
              </w:rPr>
              <w:t>IT Director of Infrastructure and Operations</w:t>
            </w:r>
          </w:p>
        </w:tc>
      </w:tr>
    </w:tbl>
    <w:p w14:paraId="72C47ECC" w14:textId="77777777" w:rsidR="00E0011B" w:rsidRDefault="318CA580" w:rsidP="318CA580">
      <w:pPr>
        <w:spacing w:before="160" w:after="60"/>
        <w:rPr>
          <w:rFonts w:ascii="Arial" w:eastAsia="Arial" w:hAnsi="Arial" w:cs="Arial"/>
          <w:b/>
          <w:bCs/>
          <w:sz w:val="22"/>
        </w:rPr>
      </w:pPr>
      <w:r w:rsidRPr="1D4CD73F">
        <w:rPr>
          <w:rFonts w:ascii="Arial" w:eastAsia="Arial" w:hAnsi="Arial" w:cs="Arial"/>
          <w:b/>
          <w:bCs/>
          <w:sz w:val="22"/>
        </w:rPr>
        <w:t>Role Summary</w:t>
      </w:r>
    </w:p>
    <w:p w14:paraId="66DAE543" w14:textId="70F17847" w:rsidR="1D4CD73F" w:rsidRDefault="1D4CD73F" w:rsidP="1D4CD73F">
      <w:r w:rsidRPr="1D4CD73F">
        <w:rPr>
          <w:rFonts w:ascii="Arial" w:eastAsia="Arial" w:hAnsi="Arial" w:cs="Arial"/>
          <w:sz w:val="19"/>
          <w:szCs w:val="19"/>
        </w:rPr>
        <w:t>The IT Asset Manager is responsible for leading the development, governance and continual improvement of IT asset, software asset and configuration management across NHS Professionals. The role provides specialist and strategic ownership of the asset lifecycle, including hardware, software, licences, warranties, contracts, configuration items, disposal, compliance, sustainability and cost optimisation.</w:t>
      </w:r>
    </w:p>
    <w:p w14:paraId="767248B6" w14:textId="3D5078D5" w:rsidR="00E0011B" w:rsidRDefault="318CA580" w:rsidP="318CA580">
      <w:pPr>
        <w:spacing w:after="80"/>
        <w:rPr>
          <w:rFonts w:ascii="Arial" w:eastAsia="Arial" w:hAnsi="Arial" w:cs="Arial"/>
          <w:sz w:val="19"/>
          <w:szCs w:val="19"/>
        </w:rPr>
      </w:pPr>
      <w:r w:rsidRPr="318CA580">
        <w:rPr>
          <w:rFonts w:ascii="Arial" w:eastAsia="Arial" w:hAnsi="Arial" w:cs="Arial"/>
          <w:sz w:val="19"/>
          <w:szCs w:val="19"/>
        </w:rPr>
        <w:t>The post holder will own and mature asset and configuration management processes within the IT Service Management operating model, ensuring asset data is accurate, secure, auditable and trusted. This includes maintaining the CMDB, strengthening controls, driving data quality, supporting cyber security and audit readiness, and ensuring asset and configuration data supports operational decision-making, service availability and process maturity.</w:t>
      </w:r>
    </w:p>
    <w:p w14:paraId="5262810E" w14:textId="77777777" w:rsidR="00E0011B" w:rsidRDefault="318CA580" w:rsidP="318CA580">
      <w:pPr>
        <w:spacing w:after="80"/>
        <w:rPr>
          <w:rFonts w:ascii="Arial" w:eastAsia="Arial" w:hAnsi="Arial" w:cs="Arial"/>
          <w:sz w:val="19"/>
          <w:szCs w:val="19"/>
        </w:rPr>
      </w:pPr>
      <w:r w:rsidRPr="318CA580">
        <w:rPr>
          <w:rFonts w:ascii="Arial" w:eastAsia="Arial" w:hAnsi="Arial" w:cs="Arial"/>
          <w:sz w:val="19"/>
          <w:szCs w:val="19"/>
        </w:rPr>
        <w:t>The role aligns to the Government Digital and Data Profession IT Service Manager pathway at Senior IT Service Manager level and is expected to operate at Practitioner to Expert level for asset and configuration management. It requires strong leadership, governance, supplier management, reporting, stakeholder engagement and continuous improvement capability.</w:t>
      </w:r>
    </w:p>
    <w:p w14:paraId="34B941E4"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Organisational Position (Illustrative)</w:t>
      </w:r>
    </w:p>
    <w:p w14:paraId="7867803F" w14:textId="7CFF52DD" w:rsidR="00ED2065" w:rsidRDefault="00ED2065" w:rsidP="318CA580">
      <w:pPr>
        <w:spacing w:before="160" w:after="60"/>
        <w:rPr>
          <w:rFonts w:ascii="Arial" w:eastAsia="Arial" w:hAnsi="Arial" w:cs="Arial"/>
          <w:b/>
          <w:bCs/>
          <w:sz w:val="22"/>
        </w:rPr>
      </w:pPr>
      <w:r>
        <w:rPr>
          <w:rFonts w:ascii="Arial" w:eastAsia="Arial" w:hAnsi="Arial" w:cs="Arial"/>
          <w:b/>
          <w:bCs/>
          <w:noProof/>
          <w:sz w:val="22"/>
        </w:rPr>
        <w:drawing>
          <wp:inline distT="0" distB="0" distL="0" distR="0" wp14:anchorId="6A1ADB13" wp14:editId="6D041CC8">
            <wp:extent cx="4358244" cy="1805050"/>
            <wp:effectExtent l="0" t="0" r="0" b="24130"/>
            <wp:docPr id="1579638823" name="Diagram 1">
              <a:extLst xmlns:a="http://schemas.openxmlformats.org/drawingml/2006/main">
                <a:ext uri="{FF2B5EF4-FFF2-40B4-BE49-F238E27FC236}">
                  <a16:creationId xmlns:a16="http://schemas.microsoft.com/office/drawing/2014/main" id="{7016E60B-EF6A-4D86-9D15-B23765FC7A1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63479F8" w14:textId="77777777" w:rsidR="00ED2065" w:rsidRDefault="00ED2065" w:rsidP="318CA580">
      <w:pPr>
        <w:spacing w:before="160" w:after="60"/>
        <w:rPr>
          <w:rFonts w:ascii="Arial" w:eastAsia="Arial" w:hAnsi="Arial" w:cs="Arial"/>
          <w:b/>
          <w:bCs/>
          <w:sz w:val="22"/>
        </w:rPr>
      </w:pPr>
    </w:p>
    <w:p w14:paraId="2AD40A83"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Responsibilities</w:t>
      </w:r>
    </w:p>
    <w:p w14:paraId="55AA1A2A" w14:textId="77777777" w:rsidR="00E0011B" w:rsidRDefault="318CA580" w:rsidP="318CA580">
      <w:pPr>
        <w:spacing w:before="100" w:after="20"/>
        <w:rPr>
          <w:rFonts w:ascii="Arial" w:eastAsia="Arial" w:hAnsi="Arial" w:cs="Arial"/>
          <w:b/>
          <w:bCs/>
          <w:szCs w:val="20"/>
        </w:rPr>
      </w:pPr>
      <w:r w:rsidRPr="318CA580">
        <w:rPr>
          <w:rFonts w:ascii="Arial" w:eastAsia="Arial" w:hAnsi="Arial" w:cs="Arial"/>
          <w:b/>
          <w:bCs/>
          <w:szCs w:val="20"/>
        </w:rPr>
        <w:t>Asset and configuration management</w:t>
      </w:r>
    </w:p>
    <w:p w14:paraId="437958C0"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Own and continuously improve the IT Asset Management (ITAM), Software Asset Management (SAM) and Service Asset and Configuration Management (SACM) processes.</w:t>
      </w:r>
    </w:p>
    <w:p w14:paraId="067DD147"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Act as owner of the CMDB and ensure configuration items, relationships, ownership, location, status and lifecycle data are complete, accurate and controlled.</w:t>
      </w:r>
    </w:p>
    <w:p w14:paraId="4EC447D7"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Develop standards for asset records, configuration data, naming conventions, relationships, lifecycle status and data quality controls.</w:t>
      </w:r>
    </w:p>
    <w:p w14:paraId="675C8FA9"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Ensure changes to assets and configuration items are recorded, controlled and auditable through appropriate ITSM processes.</w:t>
      </w:r>
    </w:p>
    <w:p w14:paraId="77C4A6F8"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Use asset discovery, inventory and ITSM tooling to improve visibility, reduce risk and support service management decisions.</w:t>
      </w:r>
    </w:p>
    <w:p w14:paraId="09EBE720" w14:textId="77777777" w:rsidR="00E0011B" w:rsidRDefault="318CA580" w:rsidP="318CA580">
      <w:pPr>
        <w:spacing w:before="100" w:after="20"/>
        <w:rPr>
          <w:rFonts w:ascii="Arial" w:eastAsia="Arial" w:hAnsi="Arial" w:cs="Arial"/>
          <w:b/>
          <w:bCs/>
          <w:szCs w:val="20"/>
        </w:rPr>
      </w:pPr>
      <w:r w:rsidRPr="318CA580">
        <w:rPr>
          <w:rFonts w:ascii="Arial" w:eastAsia="Arial" w:hAnsi="Arial" w:cs="Arial"/>
          <w:b/>
          <w:bCs/>
          <w:szCs w:val="20"/>
        </w:rPr>
        <w:t>Lifecycle, procurement and disposal</w:t>
      </w:r>
    </w:p>
    <w:p w14:paraId="7B3F7BA2"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Lead lifecycle management from demand, procurement and deployment through to support, refresh, reuse, retirement and secure disposal.</w:t>
      </w:r>
    </w:p>
    <w:p w14:paraId="118FCCAA"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Work with procurement, finance and suppliers to support efficient purchasing, warranty management, contract tracking and cost control.</w:t>
      </w:r>
    </w:p>
    <w:p w14:paraId="73B6E04C"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Maintain refresh, end-of-life and end-of-support planning to reduce operational, security and financial risk.</w:t>
      </w:r>
    </w:p>
    <w:p w14:paraId="2B50DD7E"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Ensure disposal, reuse and recycling activity is recorded with appropriate evidence and governance.</w:t>
      </w:r>
    </w:p>
    <w:p w14:paraId="199E89F6" w14:textId="77777777" w:rsidR="00E0011B" w:rsidRDefault="318CA580" w:rsidP="318CA580">
      <w:pPr>
        <w:spacing w:before="100" w:after="20"/>
        <w:rPr>
          <w:rFonts w:ascii="Arial" w:eastAsia="Arial" w:hAnsi="Arial" w:cs="Arial"/>
          <w:b/>
          <w:bCs/>
          <w:szCs w:val="20"/>
        </w:rPr>
      </w:pPr>
      <w:r w:rsidRPr="318CA580">
        <w:rPr>
          <w:rFonts w:ascii="Arial" w:eastAsia="Arial" w:hAnsi="Arial" w:cs="Arial"/>
          <w:b/>
          <w:bCs/>
          <w:szCs w:val="20"/>
        </w:rPr>
        <w:t>Governance, compliance and risk</w:t>
      </w:r>
    </w:p>
    <w:p w14:paraId="645980C5"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Define and maintain asset management policies, standards, procedures and control evidence in line with NHSP governance requirements.</w:t>
      </w:r>
    </w:p>
    <w:p w14:paraId="5D44AC11"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Lead asset audits, licence reviews, reconciliations and data quality checks, ensuring evidence is available for internal governance and external audit.</w:t>
      </w:r>
    </w:p>
    <w:p w14:paraId="22FA6070"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Manage risks relating to asset ownership, untracked assets, software licence compliance, unmanaged devices, lifecycle exposure and supplier performance.</w:t>
      </w:r>
    </w:p>
    <w:p w14:paraId="2577B1C0"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Ensure asset management controls support ISO27001, cyber security, data protection, financial governance and procurement requirements.</w:t>
      </w:r>
    </w:p>
    <w:p w14:paraId="34FB444B" w14:textId="77777777" w:rsidR="00E0011B" w:rsidRDefault="318CA580" w:rsidP="318CA580">
      <w:pPr>
        <w:spacing w:before="100" w:after="20"/>
        <w:rPr>
          <w:rFonts w:ascii="Arial" w:eastAsia="Arial" w:hAnsi="Arial" w:cs="Arial"/>
          <w:b/>
          <w:bCs/>
          <w:szCs w:val="20"/>
        </w:rPr>
      </w:pPr>
      <w:r w:rsidRPr="318CA580">
        <w:rPr>
          <w:rFonts w:ascii="Arial" w:eastAsia="Arial" w:hAnsi="Arial" w:cs="Arial"/>
          <w:b/>
          <w:bCs/>
          <w:szCs w:val="20"/>
        </w:rPr>
        <w:t>Reporting, insight and continual improvement</w:t>
      </w:r>
    </w:p>
    <w:p w14:paraId="30BF6AC2"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Produce meaningful reporting on asset accuracy, inventory status, software compliance, lifecycle position, cost, risk and supplier performance.</w:t>
      </w:r>
    </w:p>
    <w:p w14:paraId="20E7612B"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Develop KPIs and dashboards to provide clear visibility of asset and configuration management performance.</w:t>
      </w:r>
    </w:p>
    <w:p w14:paraId="4E16B212"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Use insight to identify recurring issues, process gaps and improvement opportunities across device lifecycle, software licensing and asset governance.</w:t>
      </w:r>
    </w:p>
    <w:p w14:paraId="65EBE70B"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Drive automation, process standardisation and improved self-service where this improves data quality and user experience.</w:t>
      </w:r>
    </w:p>
    <w:p w14:paraId="1048691F" w14:textId="77777777" w:rsidR="00E0011B" w:rsidRDefault="318CA580" w:rsidP="318CA580">
      <w:pPr>
        <w:spacing w:before="100" w:after="20"/>
        <w:rPr>
          <w:rFonts w:ascii="Arial" w:eastAsia="Arial" w:hAnsi="Arial" w:cs="Arial"/>
          <w:b/>
          <w:bCs/>
          <w:szCs w:val="20"/>
        </w:rPr>
      </w:pPr>
      <w:r w:rsidRPr="318CA580">
        <w:rPr>
          <w:rFonts w:ascii="Arial" w:eastAsia="Arial" w:hAnsi="Arial" w:cs="Arial"/>
          <w:b/>
          <w:bCs/>
          <w:szCs w:val="20"/>
        </w:rPr>
        <w:t>Stakeholder, supplier and service management</w:t>
      </w:r>
    </w:p>
    <w:p w14:paraId="6CEE7898"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Act as the senior escalation point and subject matter expert for IT asset and configuration management matters.</w:t>
      </w:r>
    </w:p>
    <w:p w14:paraId="093B2D2C"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Work closely with IT Service Delivery, Infrastructure, Information Security, Finance, Procurement, HR, suppliers and operational teams.</w:t>
      </w:r>
    </w:p>
    <w:p w14:paraId="7F6C2353"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Provide specialist advice on asset implications for service changes, projects, incidents, problems, procurement decisions and supplier transitions.</w:t>
      </w:r>
    </w:p>
    <w:p w14:paraId="7FBE80C1"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Manage supplier relationships relating to asset lifecycle services, discovery tooling, licensing, warranty and disposal activities.</w:t>
      </w:r>
    </w:p>
    <w:p w14:paraId="29DDF4E5" w14:textId="77777777" w:rsidR="00E0011B" w:rsidRDefault="318CA580" w:rsidP="318CA580">
      <w:pPr>
        <w:spacing w:before="100" w:after="20"/>
        <w:rPr>
          <w:rFonts w:ascii="Arial" w:eastAsia="Arial" w:hAnsi="Arial" w:cs="Arial"/>
          <w:b/>
          <w:bCs/>
          <w:szCs w:val="20"/>
        </w:rPr>
      </w:pPr>
      <w:r w:rsidRPr="318CA580">
        <w:rPr>
          <w:rFonts w:ascii="Arial" w:eastAsia="Arial" w:hAnsi="Arial" w:cs="Arial"/>
          <w:b/>
          <w:bCs/>
          <w:szCs w:val="20"/>
        </w:rPr>
        <w:t>People leadership and capability building</w:t>
      </w:r>
    </w:p>
    <w:p w14:paraId="67EC6DF5"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Provide direction, coaching and oversight to colleagues supporting asset, procurement and lifecycle activities.</w:t>
      </w:r>
    </w:p>
    <w:p w14:paraId="0C7A1BAB"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Set clear expectations for data quality, audit evidence, process adherence and service improvement.</w:t>
      </w:r>
    </w:p>
    <w:p w14:paraId="484DF6CC"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Build asset management capability across IT by promoting standards, guidance, training and clear ownership.</w:t>
      </w:r>
    </w:p>
    <w:p w14:paraId="1CE60DFC"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Accountabilities</w:t>
      </w:r>
    </w:p>
    <w:p w14:paraId="1ED08A24"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Accuracy, integrity and completeness of IT asset and configuration data.</w:t>
      </w:r>
    </w:p>
    <w:p w14:paraId="4A1FA6BA"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Effective operation and maturity of the CMDB and related governance controls.</w:t>
      </w:r>
    </w:p>
    <w:p w14:paraId="5DED0883"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Lifecycle governance for hardware, software, cloud assets, licences, warranties and configuration items.</w:t>
      </w:r>
    </w:p>
    <w:p w14:paraId="18DBBDFF"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Audit-ready evidence for asset ownership, compliance, disposal, software licensing and data quality.</w:t>
      </w:r>
    </w:p>
    <w:p w14:paraId="4B1FED38"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Asset-related risk management, control improvement and reporting to senior stakeholders.</w:t>
      </w:r>
    </w:p>
    <w:p w14:paraId="17751F5B"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Alignment of IT asset and configuration management to ITIL, NHS digital operating practices, DDaT capability expectations and SFIA skills.</w:t>
      </w:r>
    </w:p>
    <w:p w14:paraId="571B382A"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Capability Alignment</w:t>
      </w:r>
    </w:p>
    <w:tbl>
      <w:tblPr>
        <w:tblStyle w:val="TableGrid"/>
        <w:tblW w:w="10080" w:type="dxa"/>
        <w:tblLook w:val="04A0" w:firstRow="1" w:lastRow="0" w:firstColumn="1" w:lastColumn="0" w:noHBand="0" w:noVBand="1"/>
      </w:tblPr>
      <w:tblGrid>
        <w:gridCol w:w="1639"/>
        <w:gridCol w:w="2893"/>
        <w:gridCol w:w="5548"/>
      </w:tblGrid>
      <w:tr w:rsidR="00E0011B" w14:paraId="57FCF5A4" w14:textId="77777777" w:rsidTr="318CA580">
        <w:tc>
          <w:tcPr>
            <w:tcW w:w="1639" w:type="dxa"/>
            <w:shd w:val="clear" w:color="auto" w:fill="F2F2F2" w:themeFill="background1" w:themeFillShade="F2"/>
          </w:tcPr>
          <w:p w14:paraId="162DCCCD"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Framework</w:t>
            </w:r>
          </w:p>
        </w:tc>
        <w:tc>
          <w:tcPr>
            <w:tcW w:w="2893" w:type="dxa"/>
            <w:shd w:val="clear" w:color="auto" w:fill="F2F2F2" w:themeFill="background1" w:themeFillShade="F2"/>
          </w:tcPr>
          <w:p w14:paraId="195ECCC0"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Expected level</w:t>
            </w:r>
          </w:p>
        </w:tc>
        <w:tc>
          <w:tcPr>
            <w:tcW w:w="5548" w:type="dxa"/>
            <w:shd w:val="clear" w:color="auto" w:fill="F2F2F2" w:themeFill="background1" w:themeFillShade="F2"/>
          </w:tcPr>
          <w:p w14:paraId="4CE08764"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Application to this role</w:t>
            </w:r>
          </w:p>
        </w:tc>
      </w:tr>
      <w:tr w:rsidR="00E0011B" w14:paraId="78DB647B" w14:textId="77777777" w:rsidTr="318CA580">
        <w:tc>
          <w:tcPr>
            <w:tcW w:w="1639" w:type="dxa"/>
          </w:tcPr>
          <w:p w14:paraId="55D6DDAD"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GOV.UK DDaT</w:t>
            </w:r>
          </w:p>
        </w:tc>
        <w:tc>
          <w:tcPr>
            <w:tcW w:w="2893" w:type="dxa"/>
          </w:tcPr>
          <w:p w14:paraId="6382E15C"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Senior IT Service Manager</w:t>
            </w:r>
          </w:p>
        </w:tc>
        <w:tc>
          <w:tcPr>
            <w:tcW w:w="5548" w:type="dxa"/>
          </w:tcPr>
          <w:p w14:paraId="76F7DBAA"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Service management across platforms, channels and services, focused on availability, performance and process maturity.</w:t>
            </w:r>
          </w:p>
        </w:tc>
      </w:tr>
      <w:tr w:rsidR="00E0011B" w14:paraId="4FE06177" w14:textId="77777777" w:rsidTr="318CA580">
        <w:tc>
          <w:tcPr>
            <w:tcW w:w="1639" w:type="dxa"/>
          </w:tcPr>
          <w:p w14:paraId="195B251E"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DDaT skill</w:t>
            </w:r>
          </w:p>
        </w:tc>
        <w:tc>
          <w:tcPr>
            <w:tcW w:w="2893" w:type="dxa"/>
          </w:tcPr>
          <w:p w14:paraId="1630BE68"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Asset and configuration management: Practitioner / Expert</w:t>
            </w:r>
          </w:p>
        </w:tc>
        <w:tc>
          <w:tcPr>
            <w:tcW w:w="5548" w:type="dxa"/>
          </w:tcPr>
          <w:p w14:paraId="415DC9E9"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Manage configuration items and service compliance, ensure changes to assets are recorded and controlled, and promote organisational commitment to asset control.</w:t>
            </w:r>
          </w:p>
        </w:tc>
      </w:tr>
      <w:tr w:rsidR="00E0011B" w14:paraId="55084C1A" w14:textId="77777777" w:rsidTr="318CA580">
        <w:tc>
          <w:tcPr>
            <w:tcW w:w="1639" w:type="dxa"/>
          </w:tcPr>
          <w:p w14:paraId="0076CBE4"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SFIA</w:t>
            </w:r>
          </w:p>
        </w:tc>
        <w:tc>
          <w:tcPr>
            <w:tcW w:w="2893" w:type="dxa"/>
          </w:tcPr>
          <w:p w14:paraId="7ED7E9E9"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ASMG Level 5 and CFMG Level 4/5</w:t>
            </w:r>
          </w:p>
        </w:tc>
        <w:tc>
          <w:tcPr>
            <w:tcW w:w="5548" w:type="dxa"/>
          </w:tcPr>
          <w:p w14:paraId="58F4BEA6"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Lead lifecycle asset management, maintain asset and configuration information, manage controls, provide specialist advice and influence improvements across the organisation.</w:t>
            </w:r>
          </w:p>
        </w:tc>
      </w:tr>
      <w:tr w:rsidR="00E0011B" w14:paraId="40B5B853" w14:textId="77777777" w:rsidTr="318CA580">
        <w:tc>
          <w:tcPr>
            <w:tcW w:w="1639" w:type="dxa"/>
          </w:tcPr>
          <w:p w14:paraId="33883260"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ITIL / ITSM</w:t>
            </w:r>
          </w:p>
        </w:tc>
        <w:tc>
          <w:tcPr>
            <w:tcW w:w="2893" w:type="dxa"/>
          </w:tcPr>
          <w:p w14:paraId="6036C55C"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Service Asset and Configuration Management ownership</w:t>
            </w:r>
          </w:p>
        </w:tc>
        <w:tc>
          <w:tcPr>
            <w:tcW w:w="5548" w:type="dxa"/>
          </w:tcPr>
          <w:p w14:paraId="65A55AFF"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Ensure asset and configuration data supports incident, request, problem, change, financial, security and reporting processes.</w:t>
            </w:r>
          </w:p>
        </w:tc>
      </w:tr>
    </w:tbl>
    <w:p w14:paraId="513567CE"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Values</w:t>
      </w:r>
    </w:p>
    <w:p w14:paraId="2B1B450D" w14:textId="77777777" w:rsidR="00E0011B" w:rsidRDefault="318CA580" w:rsidP="318CA580">
      <w:pPr>
        <w:spacing w:after="80"/>
        <w:rPr>
          <w:rFonts w:ascii="Arial" w:eastAsia="Arial" w:hAnsi="Arial" w:cs="Arial"/>
          <w:sz w:val="18"/>
          <w:szCs w:val="18"/>
        </w:rPr>
      </w:pPr>
      <w:r w:rsidRPr="318CA580">
        <w:rPr>
          <w:rFonts w:ascii="Arial" w:eastAsia="Arial" w:hAnsi="Arial" w:cs="Arial"/>
          <w:sz w:val="18"/>
          <w:szCs w:val="18"/>
        </w:rPr>
        <w:t>In addition to undertaking the duties outlined above, the job holder will be expected to fully adhere to NHS Professionals policies and values, including:</w:t>
      </w:r>
    </w:p>
    <w:p w14:paraId="44E47635"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Equality and Diversity: act in accordance with NHS Professionals’ Equality and Diversity Policy.</w:t>
      </w:r>
    </w:p>
    <w:p w14:paraId="2A553420"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Health and Safety: ensure duties are carried out in line with NHS Professionals’ Health and Safety Policy.</w:t>
      </w:r>
    </w:p>
    <w:p w14:paraId="1554FCF3"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Corporate Image: always adopt a professional image.</w:t>
      </w:r>
    </w:p>
    <w:p w14:paraId="6BD996F2"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Risk Management: report complaints, incidents and near misses through the relevant channel.</w:t>
      </w:r>
    </w:p>
    <w:p w14:paraId="72EC1FC8" w14:textId="77777777" w:rsidR="00E0011B" w:rsidRDefault="318CA580" w:rsidP="318CA580">
      <w:pPr>
        <w:pStyle w:val="ListBullet"/>
        <w:spacing w:after="20" w:line="240" w:lineRule="auto"/>
        <w:ind w:left="360"/>
        <w:rPr>
          <w:rFonts w:eastAsia="Arial"/>
          <w:sz w:val="18"/>
          <w:szCs w:val="18"/>
        </w:rPr>
      </w:pPr>
      <w:r w:rsidRPr="318CA580">
        <w:rPr>
          <w:rFonts w:eastAsia="Arial"/>
          <w:sz w:val="18"/>
          <w:szCs w:val="18"/>
        </w:rPr>
        <w:t>Scheme of Delegation: declare any direct or indirect interest in contracts involving the organisation.</w:t>
      </w:r>
    </w:p>
    <w:p w14:paraId="40FC690C"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Note</w:t>
      </w:r>
    </w:p>
    <w:p w14:paraId="1A40F8B1" w14:textId="77777777" w:rsidR="00E0011B" w:rsidRDefault="318CA580" w:rsidP="318CA580">
      <w:pPr>
        <w:spacing w:after="80"/>
        <w:rPr>
          <w:rFonts w:ascii="Arial" w:eastAsia="Arial" w:hAnsi="Arial" w:cs="Arial"/>
          <w:b/>
          <w:bCs/>
          <w:sz w:val="18"/>
          <w:szCs w:val="18"/>
        </w:rPr>
      </w:pPr>
      <w:r w:rsidRPr="318CA580">
        <w:rPr>
          <w:rFonts w:ascii="Arial" w:eastAsia="Arial" w:hAnsi="Arial" w:cs="Arial"/>
          <w:b/>
          <w:bCs/>
          <w:sz w:val="18"/>
          <w:szCs w:val="18"/>
        </w:rPr>
        <w:t>This job description outlines the roles, duties and responsibilities of the post. It is not intended to detail all specific tasks and may be reviewed as the IT Service Management operating model matures.</w:t>
      </w:r>
    </w:p>
    <w:p w14:paraId="672A6659" w14:textId="77777777" w:rsidR="00E0011B" w:rsidRDefault="007B64EE" w:rsidP="318CA580">
      <w:pPr>
        <w:rPr>
          <w:rFonts w:ascii="Arial" w:eastAsia="Arial" w:hAnsi="Arial" w:cs="Arial"/>
        </w:rPr>
      </w:pPr>
      <w:r>
        <w:br/>
      </w:r>
    </w:p>
    <w:p w14:paraId="14F9ED28"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PERSON SPECIFICATION</w:t>
      </w:r>
    </w:p>
    <w:tbl>
      <w:tblPr>
        <w:tblStyle w:val="TableGrid"/>
        <w:tblW w:w="0" w:type="auto"/>
        <w:tblLook w:val="04A0" w:firstRow="1" w:lastRow="0" w:firstColumn="1" w:lastColumn="0" w:noHBand="0" w:noVBand="1"/>
      </w:tblPr>
      <w:tblGrid>
        <w:gridCol w:w="2886"/>
        <w:gridCol w:w="3274"/>
        <w:gridCol w:w="3910"/>
      </w:tblGrid>
      <w:tr w:rsidR="00E0011B" w14:paraId="3BB79CD2" w14:textId="77777777" w:rsidTr="1D4CD73F">
        <w:tc>
          <w:tcPr>
            <w:tcW w:w="2304" w:type="dxa"/>
            <w:shd w:val="clear" w:color="auto" w:fill="F2F2F2"/>
            <w:vAlign w:val="center"/>
          </w:tcPr>
          <w:p w14:paraId="540F166E"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Job Title</w:t>
            </w:r>
          </w:p>
        </w:tc>
        <w:tc>
          <w:tcPr>
            <w:tcW w:w="7920" w:type="dxa"/>
            <w:gridSpan w:val="2"/>
            <w:vAlign w:val="center"/>
          </w:tcPr>
          <w:p w14:paraId="1C5EEA30" w14:textId="23B5E442" w:rsidR="1D4CD73F" w:rsidRDefault="1D4CD73F" w:rsidP="1D4CD73F">
            <w:r w:rsidRPr="1D4CD73F">
              <w:rPr>
                <w:rFonts w:ascii="Arial" w:eastAsia="Arial" w:hAnsi="Arial" w:cs="Arial"/>
                <w:b/>
                <w:bCs/>
                <w:color w:val="000000" w:themeColor="text1"/>
                <w:sz w:val="19"/>
                <w:szCs w:val="19"/>
              </w:rPr>
              <w:t>IT Asset Manager</w:t>
            </w:r>
          </w:p>
        </w:tc>
      </w:tr>
      <w:tr w:rsidR="00E0011B" w14:paraId="24C223BC" w14:textId="77777777" w:rsidTr="1D4CD73F">
        <w:tc>
          <w:tcPr>
            <w:tcW w:w="2304" w:type="dxa"/>
            <w:shd w:val="clear" w:color="auto" w:fill="F2F2F2"/>
            <w:vAlign w:val="center"/>
          </w:tcPr>
          <w:p w14:paraId="13DB0CFC" w14:textId="77777777" w:rsidR="00E0011B" w:rsidRDefault="318CA580" w:rsidP="318CA580">
            <w:pPr>
              <w:spacing w:after="40"/>
              <w:rPr>
                <w:rFonts w:ascii="Arial" w:eastAsia="Arial" w:hAnsi="Arial" w:cs="Arial"/>
                <w:b/>
                <w:bCs/>
                <w:color w:val="000000" w:themeColor="text1"/>
                <w:sz w:val="19"/>
                <w:szCs w:val="19"/>
              </w:rPr>
            </w:pPr>
            <w:r w:rsidRPr="318CA580">
              <w:rPr>
                <w:rFonts w:ascii="Arial" w:eastAsia="Arial" w:hAnsi="Arial" w:cs="Arial"/>
                <w:b/>
                <w:bCs/>
                <w:color w:val="000000"/>
                <w:sz w:val="19"/>
                <w:szCs w:val="19"/>
              </w:rPr>
              <w:t>Grade</w:t>
            </w:r>
          </w:p>
        </w:tc>
        <w:tc>
          <w:tcPr>
            <w:tcW w:w="7920" w:type="dxa"/>
            <w:gridSpan w:val="2"/>
            <w:vAlign w:val="center"/>
          </w:tcPr>
          <w:p w14:paraId="7419BABF" w14:textId="77777777" w:rsidR="00E0011B" w:rsidRDefault="318CA580" w:rsidP="318CA580">
            <w:pPr>
              <w:spacing w:after="40"/>
              <w:rPr>
                <w:rFonts w:ascii="Arial" w:eastAsia="Arial" w:hAnsi="Arial" w:cs="Arial"/>
                <w:color w:val="000000" w:themeColor="text1"/>
                <w:sz w:val="19"/>
                <w:szCs w:val="19"/>
              </w:rPr>
            </w:pPr>
            <w:r w:rsidRPr="318CA580">
              <w:rPr>
                <w:rFonts w:ascii="Arial" w:eastAsia="Arial" w:hAnsi="Arial" w:cs="Arial"/>
                <w:color w:val="000000"/>
                <w:sz w:val="19"/>
                <w:szCs w:val="19"/>
              </w:rPr>
              <w:t>TBC / Band 7-8a equivalent</w:t>
            </w:r>
          </w:p>
        </w:tc>
      </w:tr>
      <w:tr w:rsidR="00E0011B" w14:paraId="251AD6E5" w14:textId="77777777" w:rsidTr="318CA580">
        <w:tc>
          <w:tcPr>
            <w:tcW w:w="3141" w:type="dxa"/>
            <w:shd w:val="clear" w:color="auto" w:fill="F2F2F2" w:themeFill="background1" w:themeFillShade="F2"/>
          </w:tcPr>
          <w:p w14:paraId="1FDF52F2" w14:textId="77777777" w:rsidR="00E0011B" w:rsidRDefault="318CA580" w:rsidP="318CA580">
            <w:pPr>
              <w:spacing w:after="40"/>
              <w:rPr>
                <w:rFonts w:ascii="Arial" w:eastAsia="Arial" w:hAnsi="Arial" w:cs="Arial"/>
                <w:b/>
                <w:bCs/>
                <w:color w:val="000000" w:themeColor="text1"/>
                <w:sz w:val="18"/>
                <w:szCs w:val="18"/>
              </w:rPr>
            </w:pPr>
            <w:r w:rsidRPr="318CA580">
              <w:rPr>
                <w:rFonts w:ascii="Arial" w:eastAsia="Arial" w:hAnsi="Arial" w:cs="Arial"/>
                <w:b/>
                <w:bCs/>
                <w:color w:val="000000"/>
                <w:sz w:val="18"/>
                <w:szCs w:val="18"/>
              </w:rPr>
              <w:t>Criteria</w:t>
            </w:r>
          </w:p>
        </w:tc>
        <w:tc>
          <w:tcPr>
            <w:tcW w:w="3579" w:type="dxa"/>
            <w:shd w:val="clear" w:color="auto" w:fill="F2F2F2" w:themeFill="background1" w:themeFillShade="F2"/>
          </w:tcPr>
          <w:p w14:paraId="0895C2DB" w14:textId="77777777" w:rsidR="00E0011B" w:rsidRDefault="318CA580" w:rsidP="318CA580">
            <w:pPr>
              <w:spacing w:after="40"/>
              <w:rPr>
                <w:rFonts w:ascii="Arial" w:eastAsia="Arial" w:hAnsi="Arial" w:cs="Arial"/>
                <w:b/>
                <w:bCs/>
                <w:color w:val="000000" w:themeColor="text1"/>
                <w:sz w:val="18"/>
                <w:szCs w:val="18"/>
              </w:rPr>
            </w:pPr>
            <w:r w:rsidRPr="318CA580">
              <w:rPr>
                <w:rFonts w:ascii="Arial" w:eastAsia="Arial" w:hAnsi="Arial" w:cs="Arial"/>
                <w:b/>
                <w:bCs/>
                <w:color w:val="000000"/>
                <w:sz w:val="18"/>
                <w:szCs w:val="18"/>
              </w:rPr>
              <w:t>Essential</w:t>
            </w:r>
          </w:p>
        </w:tc>
        <w:tc>
          <w:tcPr>
            <w:tcW w:w="3360" w:type="dxa"/>
            <w:shd w:val="clear" w:color="auto" w:fill="F2F2F2" w:themeFill="background1" w:themeFillShade="F2"/>
          </w:tcPr>
          <w:p w14:paraId="248B3EE6" w14:textId="77777777" w:rsidR="00E0011B" w:rsidRDefault="318CA580" w:rsidP="318CA580">
            <w:pPr>
              <w:spacing w:after="40"/>
              <w:rPr>
                <w:rFonts w:ascii="Arial" w:eastAsia="Arial" w:hAnsi="Arial" w:cs="Arial"/>
                <w:b/>
                <w:bCs/>
                <w:color w:val="000000" w:themeColor="text1"/>
                <w:sz w:val="18"/>
                <w:szCs w:val="18"/>
              </w:rPr>
            </w:pPr>
            <w:r w:rsidRPr="318CA580">
              <w:rPr>
                <w:rFonts w:ascii="Arial" w:eastAsia="Arial" w:hAnsi="Arial" w:cs="Arial"/>
                <w:b/>
                <w:bCs/>
                <w:color w:val="000000"/>
                <w:sz w:val="18"/>
                <w:szCs w:val="18"/>
              </w:rPr>
              <w:t>Desirable</w:t>
            </w:r>
          </w:p>
        </w:tc>
      </w:tr>
      <w:tr w:rsidR="00E0011B" w14:paraId="4F7BC712" w14:textId="77777777" w:rsidTr="318CA580">
        <w:tc>
          <w:tcPr>
            <w:tcW w:w="3141" w:type="dxa"/>
            <w:shd w:val="clear" w:color="auto" w:fill="F9F9F9"/>
          </w:tcPr>
          <w:p w14:paraId="5D98F02F"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Qualifications and Knowledge</w:t>
            </w:r>
          </w:p>
        </w:tc>
        <w:tc>
          <w:tcPr>
            <w:tcW w:w="3579" w:type="dxa"/>
          </w:tcPr>
          <w:p w14:paraId="1DB718AD" w14:textId="77777777" w:rsidR="00E0011B" w:rsidRDefault="318CA580" w:rsidP="318CA580">
            <w:pPr>
              <w:pStyle w:val="ListBullet"/>
              <w:spacing w:after="20"/>
              <w:rPr>
                <w:rFonts w:eastAsia="Arial"/>
                <w:sz w:val="16"/>
                <w:szCs w:val="16"/>
              </w:rPr>
            </w:pPr>
            <w:r w:rsidRPr="318CA580">
              <w:rPr>
                <w:rFonts w:eastAsia="Arial"/>
                <w:sz w:val="16"/>
                <w:szCs w:val="16"/>
              </w:rPr>
              <w:t>Degree level qualification or equivalent relevant experience in IT service management, IT operations, asset management or a related discipline.</w:t>
            </w:r>
          </w:p>
          <w:p w14:paraId="61C125E7" w14:textId="77777777" w:rsidR="00E0011B" w:rsidRDefault="318CA580" w:rsidP="318CA580">
            <w:pPr>
              <w:pStyle w:val="ListBullet"/>
              <w:spacing w:after="20"/>
              <w:rPr>
                <w:rFonts w:eastAsia="Arial"/>
                <w:sz w:val="16"/>
                <w:szCs w:val="16"/>
              </w:rPr>
            </w:pPr>
            <w:r w:rsidRPr="318CA580">
              <w:rPr>
                <w:rFonts w:eastAsia="Arial"/>
                <w:sz w:val="16"/>
                <w:szCs w:val="16"/>
              </w:rPr>
              <w:t>ITIL Foundation or equivalent service management knowledge.</w:t>
            </w:r>
          </w:p>
          <w:p w14:paraId="47CEAC49" w14:textId="77777777" w:rsidR="00E0011B" w:rsidRDefault="318CA580" w:rsidP="318CA580">
            <w:pPr>
              <w:pStyle w:val="ListBullet"/>
              <w:spacing w:after="20"/>
              <w:rPr>
                <w:rFonts w:eastAsia="Arial"/>
                <w:sz w:val="16"/>
                <w:szCs w:val="16"/>
              </w:rPr>
            </w:pPr>
            <w:r w:rsidRPr="318CA580">
              <w:rPr>
                <w:rFonts w:eastAsia="Arial"/>
                <w:sz w:val="16"/>
                <w:szCs w:val="16"/>
              </w:rPr>
              <w:t>Strong knowledge of IT Asset Management, Software Asset Management, Configuration Management and CMDB governance.</w:t>
            </w:r>
          </w:p>
          <w:p w14:paraId="498F5AE4" w14:textId="77777777" w:rsidR="00E0011B" w:rsidRDefault="318CA580" w:rsidP="318CA580">
            <w:pPr>
              <w:pStyle w:val="ListBullet"/>
              <w:spacing w:after="20"/>
              <w:rPr>
                <w:rFonts w:eastAsia="Arial"/>
                <w:sz w:val="16"/>
                <w:szCs w:val="16"/>
              </w:rPr>
            </w:pPr>
            <w:r w:rsidRPr="318CA580">
              <w:rPr>
                <w:rFonts w:eastAsia="Arial"/>
                <w:sz w:val="16"/>
                <w:szCs w:val="16"/>
              </w:rPr>
              <w:t>Understanding of information security, data protection, audit, procurement and financial controls linked to IT assets.</w:t>
            </w:r>
          </w:p>
        </w:tc>
        <w:tc>
          <w:tcPr>
            <w:tcW w:w="3360" w:type="dxa"/>
          </w:tcPr>
          <w:p w14:paraId="118F29F1" w14:textId="77777777" w:rsidR="00E0011B" w:rsidRDefault="318CA580" w:rsidP="318CA580">
            <w:pPr>
              <w:pStyle w:val="ListBullet"/>
              <w:spacing w:after="20"/>
              <w:rPr>
                <w:rFonts w:eastAsia="Arial"/>
                <w:sz w:val="16"/>
                <w:szCs w:val="16"/>
              </w:rPr>
            </w:pPr>
            <w:r w:rsidRPr="318CA580">
              <w:rPr>
                <w:rFonts w:eastAsia="Arial"/>
                <w:sz w:val="16"/>
                <w:szCs w:val="16"/>
              </w:rPr>
              <w:t>ITAM, SAM, CSAM, CITAM, ITIL Practice Manager or equivalent certification.</w:t>
            </w:r>
          </w:p>
          <w:p w14:paraId="4B485186" w14:textId="77777777" w:rsidR="00E0011B" w:rsidRDefault="318CA580" w:rsidP="318CA580">
            <w:pPr>
              <w:pStyle w:val="ListBullet"/>
              <w:spacing w:after="20"/>
              <w:rPr>
                <w:rFonts w:eastAsia="Arial"/>
                <w:sz w:val="16"/>
                <w:szCs w:val="16"/>
              </w:rPr>
            </w:pPr>
            <w:r w:rsidRPr="318CA580">
              <w:rPr>
                <w:rFonts w:eastAsia="Arial"/>
                <w:sz w:val="16"/>
                <w:szCs w:val="16"/>
              </w:rPr>
              <w:t>Knowledge of FreshService, Ivanti, ServiceNow, Device42, Intune or comparable tooling.</w:t>
            </w:r>
          </w:p>
          <w:p w14:paraId="2F36ED08" w14:textId="77777777" w:rsidR="00E0011B" w:rsidRDefault="318CA580" w:rsidP="318CA580">
            <w:pPr>
              <w:pStyle w:val="ListBullet"/>
              <w:spacing w:after="20"/>
              <w:rPr>
                <w:rFonts w:eastAsia="Arial"/>
                <w:sz w:val="16"/>
                <w:szCs w:val="16"/>
              </w:rPr>
            </w:pPr>
            <w:r w:rsidRPr="318CA580">
              <w:rPr>
                <w:rFonts w:eastAsia="Arial"/>
                <w:sz w:val="16"/>
                <w:szCs w:val="16"/>
              </w:rPr>
              <w:t>Experience in NHS, healthcare or regulated environments.</w:t>
            </w:r>
          </w:p>
        </w:tc>
      </w:tr>
      <w:tr w:rsidR="00E0011B" w14:paraId="3D465402" w14:textId="77777777" w:rsidTr="318CA580">
        <w:tc>
          <w:tcPr>
            <w:tcW w:w="3141" w:type="dxa"/>
            <w:shd w:val="clear" w:color="auto" w:fill="F9F9F9"/>
          </w:tcPr>
          <w:p w14:paraId="718EE1A2"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Experience</w:t>
            </w:r>
          </w:p>
        </w:tc>
        <w:tc>
          <w:tcPr>
            <w:tcW w:w="3579" w:type="dxa"/>
          </w:tcPr>
          <w:p w14:paraId="202261EE" w14:textId="77777777" w:rsidR="00E0011B" w:rsidRDefault="318CA580" w:rsidP="318CA580">
            <w:pPr>
              <w:pStyle w:val="ListBullet"/>
              <w:spacing w:after="20"/>
              <w:rPr>
                <w:rFonts w:eastAsia="Arial"/>
                <w:sz w:val="16"/>
                <w:szCs w:val="16"/>
              </w:rPr>
            </w:pPr>
            <w:r w:rsidRPr="318CA580">
              <w:rPr>
                <w:rFonts w:eastAsia="Arial"/>
                <w:sz w:val="16"/>
                <w:szCs w:val="16"/>
              </w:rPr>
              <w:t>Significant experience managing IT assets, software licences, configuration data or CMDB processes in a medium to large organisation.</w:t>
            </w:r>
          </w:p>
          <w:p w14:paraId="492A7414" w14:textId="77777777" w:rsidR="00E0011B" w:rsidRDefault="318CA580" w:rsidP="318CA580">
            <w:pPr>
              <w:pStyle w:val="ListBullet"/>
              <w:spacing w:after="20"/>
              <w:rPr>
                <w:rFonts w:eastAsia="Arial"/>
                <w:sz w:val="16"/>
                <w:szCs w:val="16"/>
              </w:rPr>
            </w:pPr>
            <w:r w:rsidRPr="318CA580">
              <w:rPr>
                <w:rFonts w:eastAsia="Arial"/>
                <w:sz w:val="16"/>
                <w:szCs w:val="16"/>
              </w:rPr>
              <w:t>Experience developing policies, processes, standards, reporting and audit evidence for asset and configuration management.</w:t>
            </w:r>
          </w:p>
          <w:p w14:paraId="57EDDA4B" w14:textId="77777777" w:rsidR="00E0011B" w:rsidRDefault="318CA580" w:rsidP="318CA580">
            <w:pPr>
              <w:pStyle w:val="ListBullet"/>
              <w:spacing w:after="20"/>
              <w:rPr>
                <w:rFonts w:eastAsia="Arial"/>
                <w:sz w:val="16"/>
                <w:szCs w:val="16"/>
              </w:rPr>
            </w:pPr>
            <w:r w:rsidRPr="318CA580">
              <w:rPr>
                <w:rFonts w:eastAsia="Arial"/>
                <w:sz w:val="16"/>
                <w:szCs w:val="16"/>
              </w:rPr>
              <w:t>Experience leading asset audits, licence reviews, lifecycle planning, data quality improvement and supplier performance activity.</w:t>
            </w:r>
          </w:p>
          <w:p w14:paraId="49A5388B" w14:textId="77777777" w:rsidR="00E0011B" w:rsidRDefault="318CA580" w:rsidP="318CA580">
            <w:pPr>
              <w:pStyle w:val="ListBullet"/>
              <w:spacing w:after="20"/>
              <w:rPr>
                <w:rFonts w:eastAsia="Arial"/>
                <w:sz w:val="16"/>
                <w:szCs w:val="16"/>
              </w:rPr>
            </w:pPr>
            <w:r w:rsidRPr="318CA580">
              <w:rPr>
                <w:rFonts w:eastAsia="Arial"/>
                <w:sz w:val="16"/>
                <w:szCs w:val="16"/>
              </w:rPr>
              <w:t>Experience working across IT service delivery, infrastructure, finance, procurement, security and operational teams.</w:t>
            </w:r>
          </w:p>
        </w:tc>
        <w:tc>
          <w:tcPr>
            <w:tcW w:w="3360" w:type="dxa"/>
          </w:tcPr>
          <w:p w14:paraId="0239A280" w14:textId="77777777" w:rsidR="00E0011B" w:rsidRDefault="318CA580" w:rsidP="318CA580">
            <w:pPr>
              <w:pStyle w:val="ListBullet"/>
              <w:spacing w:after="20"/>
              <w:rPr>
                <w:rFonts w:eastAsia="Arial"/>
                <w:sz w:val="16"/>
                <w:szCs w:val="16"/>
              </w:rPr>
            </w:pPr>
            <w:r w:rsidRPr="318CA580">
              <w:rPr>
                <w:rFonts w:eastAsia="Arial"/>
                <w:sz w:val="16"/>
                <w:szCs w:val="16"/>
              </w:rPr>
              <w:t>Experience of asset discovery tooling, network scanning or endpoint inventory technologies.</w:t>
            </w:r>
          </w:p>
          <w:p w14:paraId="0893A9BB" w14:textId="77777777" w:rsidR="00E0011B" w:rsidRDefault="318CA580" w:rsidP="318CA580">
            <w:pPr>
              <w:pStyle w:val="ListBullet"/>
              <w:spacing w:after="20"/>
              <w:rPr>
                <w:rFonts w:eastAsia="Arial"/>
                <w:sz w:val="16"/>
                <w:szCs w:val="16"/>
              </w:rPr>
            </w:pPr>
            <w:r w:rsidRPr="318CA580">
              <w:rPr>
                <w:rFonts w:eastAsia="Arial"/>
                <w:sz w:val="16"/>
                <w:szCs w:val="16"/>
              </w:rPr>
              <w:t>Experience supporting cloud, SaaS or subscription cost optimisation.</w:t>
            </w:r>
          </w:p>
          <w:p w14:paraId="47A34EB9" w14:textId="77777777" w:rsidR="00E0011B" w:rsidRDefault="318CA580" w:rsidP="318CA580">
            <w:pPr>
              <w:pStyle w:val="ListBullet"/>
              <w:spacing w:after="20"/>
              <w:rPr>
                <w:rFonts w:eastAsia="Arial"/>
                <w:sz w:val="16"/>
                <w:szCs w:val="16"/>
              </w:rPr>
            </w:pPr>
            <w:r w:rsidRPr="318CA580">
              <w:rPr>
                <w:rFonts w:eastAsia="Arial"/>
                <w:sz w:val="16"/>
                <w:szCs w:val="16"/>
              </w:rPr>
              <w:t>Experience managing or coaching asset/procurement support colleagues.</w:t>
            </w:r>
          </w:p>
        </w:tc>
      </w:tr>
      <w:tr w:rsidR="00E0011B" w14:paraId="0A3E0C39" w14:textId="77777777" w:rsidTr="318CA580">
        <w:tc>
          <w:tcPr>
            <w:tcW w:w="3141" w:type="dxa"/>
            <w:shd w:val="clear" w:color="auto" w:fill="F9F9F9"/>
          </w:tcPr>
          <w:p w14:paraId="0C81BE42"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Communication and People Skills</w:t>
            </w:r>
          </w:p>
        </w:tc>
        <w:tc>
          <w:tcPr>
            <w:tcW w:w="3579" w:type="dxa"/>
          </w:tcPr>
          <w:p w14:paraId="5DC3B072" w14:textId="77777777" w:rsidR="00E0011B" w:rsidRDefault="318CA580" w:rsidP="318CA580">
            <w:pPr>
              <w:pStyle w:val="ListBullet"/>
              <w:spacing w:after="20"/>
              <w:rPr>
                <w:rFonts w:eastAsia="Arial"/>
                <w:sz w:val="16"/>
                <w:szCs w:val="16"/>
              </w:rPr>
            </w:pPr>
            <w:r w:rsidRPr="318CA580">
              <w:rPr>
                <w:rFonts w:eastAsia="Arial"/>
                <w:sz w:val="16"/>
                <w:szCs w:val="16"/>
              </w:rPr>
              <w:t>Able to explain complex asset, configuration, licensing and risk information in clear language for technical and non-technical stakeholders.</w:t>
            </w:r>
          </w:p>
          <w:p w14:paraId="4BA2201B" w14:textId="77777777" w:rsidR="00E0011B" w:rsidRDefault="318CA580" w:rsidP="318CA580">
            <w:pPr>
              <w:pStyle w:val="ListBullet"/>
              <w:spacing w:after="20"/>
              <w:rPr>
                <w:rFonts w:eastAsia="Arial"/>
                <w:sz w:val="16"/>
                <w:szCs w:val="16"/>
              </w:rPr>
            </w:pPr>
            <w:r w:rsidRPr="318CA580">
              <w:rPr>
                <w:rFonts w:eastAsia="Arial"/>
                <w:sz w:val="16"/>
                <w:szCs w:val="16"/>
              </w:rPr>
              <w:t>Strong stakeholder management, influencing, negotiation and supplier management skills.</w:t>
            </w:r>
          </w:p>
          <w:p w14:paraId="59DF2571" w14:textId="77777777" w:rsidR="00E0011B" w:rsidRDefault="318CA580" w:rsidP="318CA580">
            <w:pPr>
              <w:pStyle w:val="ListBullet"/>
              <w:spacing w:after="20"/>
              <w:rPr>
                <w:rFonts w:eastAsia="Arial"/>
                <w:sz w:val="16"/>
                <w:szCs w:val="16"/>
              </w:rPr>
            </w:pPr>
            <w:r w:rsidRPr="318CA580">
              <w:rPr>
                <w:rFonts w:eastAsia="Arial"/>
                <w:sz w:val="16"/>
                <w:szCs w:val="16"/>
              </w:rPr>
              <w:t>Confident presenting reports, risks, options and recommendations to senior stakeholders.</w:t>
            </w:r>
          </w:p>
        </w:tc>
        <w:tc>
          <w:tcPr>
            <w:tcW w:w="3360" w:type="dxa"/>
          </w:tcPr>
          <w:p w14:paraId="5796F542" w14:textId="77777777" w:rsidR="00E0011B" w:rsidRDefault="318CA580" w:rsidP="318CA580">
            <w:pPr>
              <w:pStyle w:val="ListBullet"/>
              <w:spacing w:after="20"/>
              <w:rPr>
                <w:rFonts w:eastAsia="Arial"/>
                <w:sz w:val="16"/>
                <w:szCs w:val="16"/>
              </w:rPr>
            </w:pPr>
            <w:r w:rsidRPr="318CA580">
              <w:rPr>
                <w:rFonts w:eastAsia="Arial"/>
                <w:sz w:val="16"/>
                <w:szCs w:val="16"/>
              </w:rPr>
              <w:t>Experience delivering training, process briefings or guidance to operational and technical teams.</w:t>
            </w:r>
          </w:p>
          <w:p w14:paraId="03F549B5" w14:textId="77777777" w:rsidR="00E0011B" w:rsidRDefault="318CA580" w:rsidP="318CA580">
            <w:pPr>
              <w:pStyle w:val="ListBullet"/>
              <w:spacing w:after="20"/>
              <w:rPr>
                <w:rFonts w:eastAsia="Arial"/>
                <w:sz w:val="16"/>
                <w:szCs w:val="16"/>
              </w:rPr>
            </w:pPr>
            <w:r w:rsidRPr="318CA580">
              <w:rPr>
                <w:rFonts w:eastAsia="Arial"/>
                <w:sz w:val="16"/>
                <w:szCs w:val="16"/>
              </w:rPr>
              <w:t>Experience acting as a senior escalation point for complex asset, supplier or compliance issues.</w:t>
            </w:r>
          </w:p>
        </w:tc>
      </w:tr>
      <w:tr w:rsidR="00E0011B" w14:paraId="0AFCF66B" w14:textId="77777777" w:rsidTr="318CA580">
        <w:tc>
          <w:tcPr>
            <w:tcW w:w="3141" w:type="dxa"/>
            <w:shd w:val="clear" w:color="auto" w:fill="F9F9F9"/>
          </w:tcPr>
          <w:p w14:paraId="00F08AD5"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Organisational Skills</w:t>
            </w:r>
          </w:p>
        </w:tc>
        <w:tc>
          <w:tcPr>
            <w:tcW w:w="3579" w:type="dxa"/>
          </w:tcPr>
          <w:p w14:paraId="2863A28D" w14:textId="77777777" w:rsidR="00E0011B" w:rsidRDefault="318CA580" w:rsidP="318CA580">
            <w:pPr>
              <w:pStyle w:val="ListBullet"/>
              <w:spacing w:after="20"/>
              <w:rPr>
                <w:rFonts w:eastAsia="Arial"/>
                <w:sz w:val="16"/>
                <w:szCs w:val="16"/>
              </w:rPr>
            </w:pPr>
            <w:r w:rsidRPr="318CA580">
              <w:rPr>
                <w:rFonts w:eastAsia="Arial"/>
                <w:sz w:val="16"/>
                <w:szCs w:val="16"/>
              </w:rPr>
              <w:t>Able to work independently, prioritise competing demands and manage work to clear outcomes.</w:t>
            </w:r>
          </w:p>
          <w:p w14:paraId="502CA098" w14:textId="77777777" w:rsidR="00E0011B" w:rsidRDefault="318CA580" w:rsidP="318CA580">
            <w:pPr>
              <w:pStyle w:val="ListBullet"/>
              <w:spacing w:after="20"/>
              <w:rPr>
                <w:rFonts w:eastAsia="Arial"/>
                <w:sz w:val="16"/>
                <w:szCs w:val="16"/>
              </w:rPr>
            </w:pPr>
            <w:r w:rsidRPr="318CA580">
              <w:rPr>
                <w:rFonts w:eastAsia="Arial"/>
                <w:sz w:val="16"/>
                <w:szCs w:val="16"/>
              </w:rPr>
              <w:t>Strong attention to detail, data quality discipline and evidence-based decision making.</w:t>
            </w:r>
          </w:p>
          <w:p w14:paraId="348005EE" w14:textId="77777777" w:rsidR="00E0011B" w:rsidRDefault="318CA580" w:rsidP="318CA580">
            <w:pPr>
              <w:pStyle w:val="ListBullet"/>
              <w:spacing w:after="20"/>
              <w:rPr>
                <w:rFonts w:eastAsia="Arial"/>
                <w:sz w:val="16"/>
                <w:szCs w:val="16"/>
              </w:rPr>
            </w:pPr>
            <w:r w:rsidRPr="318CA580">
              <w:rPr>
                <w:rFonts w:eastAsia="Arial"/>
                <w:sz w:val="16"/>
                <w:szCs w:val="16"/>
              </w:rPr>
              <w:t>Able to plan and deliver lifecycle, audit, reconciliation and improvement activity across multiple workstreams.</w:t>
            </w:r>
          </w:p>
        </w:tc>
        <w:tc>
          <w:tcPr>
            <w:tcW w:w="3360" w:type="dxa"/>
          </w:tcPr>
          <w:p w14:paraId="36A81989" w14:textId="77777777" w:rsidR="00E0011B" w:rsidRDefault="318CA580" w:rsidP="318CA580">
            <w:pPr>
              <w:pStyle w:val="ListBullet"/>
              <w:spacing w:after="20"/>
              <w:rPr>
                <w:rFonts w:eastAsia="Arial"/>
                <w:sz w:val="16"/>
                <w:szCs w:val="16"/>
              </w:rPr>
            </w:pPr>
            <w:r w:rsidRPr="318CA580">
              <w:rPr>
                <w:rFonts w:eastAsia="Arial"/>
                <w:sz w:val="16"/>
                <w:szCs w:val="16"/>
              </w:rPr>
              <w:t>Experience developing roadmaps, maturity plans, KPIs or dashboards.</w:t>
            </w:r>
          </w:p>
          <w:p w14:paraId="056295E0" w14:textId="77777777" w:rsidR="00E0011B" w:rsidRDefault="318CA580" w:rsidP="318CA580">
            <w:pPr>
              <w:pStyle w:val="ListBullet"/>
              <w:spacing w:after="20"/>
              <w:rPr>
                <w:rFonts w:eastAsia="Arial"/>
                <w:sz w:val="16"/>
                <w:szCs w:val="16"/>
              </w:rPr>
            </w:pPr>
            <w:r w:rsidRPr="318CA580">
              <w:rPr>
                <w:rFonts w:eastAsia="Arial"/>
                <w:sz w:val="16"/>
                <w:szCs w:val="16"/>
              </w:rPr>
              <w:t>Experience working under pressure in a changing IT service environment.</w:t>
            </w:r>
          </w:p>
        </w:tc>
      </w:tr>
      <w:tr w:rsidR="00E0011B" w14:paraId="5E1AD23A" w14:textId="77777777" w:rsidTr="318CA580">
        <w:tc>
          <w:tcPr>
            <w:tcW w:w="3141" w:type="dxa"/>
            <w:shd w:val="clear" w:color="auto" w:fill="F9F9F9"/>
          </w:tcPr>
          <w:p w14:paraId="6E5F1EFC"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Specialist Knowledge / Skills</w:t>
            </w:r>
          </w:p>
        </w:tc>
        <w:tc>
          <w:tcPr>
            <w:tcW w:w="3579" w:type="dxa"/>
          </w:tcPr>
          <w:p w14:paraId="6D2B5230" w14:textId="77777777" w:rsidR="00E0011B" w:rsidRDefault="318CA580" w:rsidP="318CA580">
            <w:pPr>
              <w:pStyle w:val="ListBullet"/>
              <w:spacing w:after="20"/>
              <w:rPr>
                <w:rFonts w:eastAsia="Arial"/>
                <w:sz w:val="16"/>
                <w:szCs w:val="16"/>
              </w:rPr>
            </w:pPr>
            <w:r w:rsidRPr="318CA580">
              <w:rPr>
                <w:rFonts w:eastAsia="Arial"/>
                <w:sz w:val="16"/>
                <w:szCs w:val="16"/>
              </w:rPr>
              <w:t>Practical understanding of ITIL processes including Incident, Request, Problem, Change and Service Asset and Configuration Management.</w:t>
            </w:r>
          </w:p>
          <w:p w14:paraId="4EFAF9D0" w14:textId="77777777" w:rsidR="00E0011B" w:rsidRDefault="318CA580" w:rsidP="318CA580">
            <w:pPr>
              <w:pStyle w:val="ListBullet"/>
              <w:spacing w:after="20"/>
              <w:rPr>
                <w:rFonts w:eastAsia="Arial"/>
                <w:sz w:val="16"/>
                <w:szCs w:val="16"/>
              </w:rPr>
            </w:pPr>
            <w:r w:rsidRPr="318CA580">
              <w:rPr>
                <w:rFonts w:eastAsia="Arial"/>
                <w:sz w:val="16"/>
                <w:szCs w:val="16"/>
              </w:rPr>
              <w:t>Ability to manage configuration items, relationships, lifecycle status, ownership, risk and compliance information.</w:t>
            </w:r>
          </w:p>
          <w:p w14:paraId="0D93A475" w14:textId="77777777" w:rsidR="00E0011B" w:rsidRDefault="318CA580" w:rsidP="318CA580">
            <w:pPr>
              <w:pStyle w:val="ListBullet"/>
              <w:spacing w:after="20"/>
              <w:rPr>
                <w:rFonts w:eastAsia="Arial"/>
                <w:sz w:val="16"/>
                <w:szCs w:val="16"/>
              </w:rPr>
            </w:pPr>
            <w:r w:rsidRPr="318CA580">
              <w:rPr>
                <w:rFonts w:eastAsia="Arial"/>
                <w:sz w:val="16"/>
                <w:szCs w:val="16"/>
              </w:rPr>
              <w:t>Able to identify asset-related risks and translate them into practical controls, actions and reporting.</w:t>
            </w:r>
          </w:p>
          <w:p w14:paraId="1A7D407C" w14:textId="77777777" w:rsidR="00E0011B" w:rsidRDefault="318CA580" w:rsidP="318CA580">
            <w:pPr>
              <w:pStyle w:val="ListBullet"/>
              <w:spacing w:after="20"/>
              <w:rPr>
                <w:rFonts w:eastAsia="Arial"/>
                <w:sz w:val="16"/>
                <w:szCs w:val="16"/>
              </w:rPr>
            </w:pPr>
            <w:r w:rsidRPr="318CA580">
              <w:rPr>
                <w:rFonts w:eastAsia="Arial"/>
                <w:sz w:val="16"/>
                <w:szCs w:val="16"/>
              </w:rPr>
              <w:t>Strong analytical capability using asset, licence, financial and service data to support decision making.</w:t>
            </w:r>
          </w:p>
        </w:tc>
        <w:tc>
          <w:tcPr>
            <w:tcW w:w="3360" w:type="dxa"/>
          </w:tcPr>
          <w:p w14:paraId="4FFBC459" w14:textId="77777777" w:rsidR="00E0011B" w:rsidRDefault="318CA580" w:rsidP="318CA580">
            <w:pPr>
              <w:pStyle w:val="ListBullet"/>
              <w:spacing w:after="20"/>
              <w:rPr>
                <w:rFonts w:eastAsia="Arial"/>
                <w:sz w:val="16"/>
                <w:szCs w:val="16"/>
              </w:rPr>
            </w:pPr>
            <w:r w:rsidRPr="318CA580">
              <w:rPr>
                <w:rFonts w:eastAsia="Arial"/>
                <w:sz w:val="16"/>
                <w:szCs w:val="16"/>
              </w:rPr>
              <w:t>Knowledge of ISO27001, Cyber Essentials, NHS DSPT or equivalent assurance frameworks.</w:t>
            </w:r>
          </w:p>
          <w:p w14:paraId="45CCF4DC" w14:textId="77777777" w:rsidR="00E0011B" w:rsidRDefault="318CA580" w:rsidP="318CA580">
            <w:pPr>
              <w:pStyle w:val="ListBullet"/>
              <w:spacing w:after="20"/>
              <w:rPr>
                <w:rFonts w:eastAsia="Arial"/>
                <w:sz w:val="16"/>
                <w:szCs w:val="16"/>
              </w:rPr>
            </w:pPr>
            <w:r w:rsidRPr="318CA580">
              <w:rPr>
                <w:rFonts w:eastAsia="Arial"/>
                <w:sz w:val="16"/>
                <w:szCs w:val="16"/>
              </w:rPr>
              <w:t>Commercial awareness including contract, warranty, supplier and lifecycle cost management.</w:t>
            </w:r>
          </w:p>
          <w:p w14:paraId="1705C5DD" w14:textId="77777777" w:rsidR="00E0011B" w:rsidRDefault="318CA580" w:rsidP="318CA580">
            <w:pPr>
              <w:pStyle w:val="ListBullet"/>
              <w:spacing w:after="20"/>
              <w:rPr>
                <w:rFonts w:eastAsia="Arial"/>
                <w:sz w:val="16"/>
                <w:szCs w:val="16"/>
              </w:rPr>
            </w:pPr>
            <w:r w:rsidRPr="318CA580">
              <w:rPr>
                <w:rFonts w:eastAsia="Arial"/>
                <w:sz w:val="16"/>
                <w:szCs w:val="16"/>
              </w:rPr>
              <w:t>Awareness of sustainability considerations in IT asset lifecycle and disposal.</w:t>
            </w:r>
          </w:p>
        </w:tc>
      </w:tr>
      <w:tr w:rsidR="00E0011B" w14:paraId="286186A0" w14:textId="77777777" w:rsidTr="318CA580">
        <w:tc>
          <w:tcPr>
            <w:tcW w:w="3141" w:type="dxa"/>
            <w:shd w:val="clear" w:color="auto" w:fill="F9F9F9"/>
          </w:tcPr>
          <w:p w14:paraId="150F00A2"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Physical Skills</w:t>
            </w:r>
          </w:p>
        </w:tc>
        <w:tc>
          <w:tcPr>
            <w:tcW w:w="3579" w:type="dxa"/>
          </w:tcPr>
          <w:p w14:paraId="03A7BEA9" w14:textId="77777777" w:rsidR="00E0011B" w:rsidRDefault="318CA580" w:rsidP="318CA580">
            <w:pPr>
              <w:pStyle w:val="ListBullet"/>
              <w:spacing w:after="20"/>
              <w:rPr>
                <w:rFonts w:eastAsia="Arial"/>
                <w:sz w:val="16"/>
                <w:szCs w:val="16"/>
              </w:rPr>
            </w:pPr>
            <w:r w:rsidRPr="318CA580">
              <w:rPr>
                <w:rFonts w:eastAsia="Arial"/>
                <w:sz w:val="16"/>
                <w:szCs w:val="16"/>
              </w:rPr>
              <w:t>Must pass pre-employment health assessment.</w:t>
            </w:r>
          </w:p>
          <w:p w14:paraId="6D019769" w14:textId="77777777" w:rsidR="00E0011B" w:rsidRDefault="318CA580" w:rsidP="318CA580">
            <w:pPr>
              <w:pStyle w:val="ListBullet"/>
              <w:spacing w:after="20"/>
              <w:rPr>
                <w:rFonts w:eastAsia="Arial"/>
                <w:sz w:val="16"/>
                <w:szCs w:val="16"/>
              </w:rPr>
            </w:pPr>
            <w:r w:rsidRPr="318CA580">
              <w:rPr>
                <w:rFonts w:eastAsia="Arial"/>
                <w:sz w:val="16"/>
                <w:szCs w:val="16"/>
              </w:rPr>
              <w:t>Ability to attend NHSP sites when required.</w:t>
            </w:r>
          </w:p>
        </w:tc>
        <w:tc>
          <w:tcPr>
            <w:tcW w:w="3360" w:type="dxa"/>
          </w:tcPr>
          <w:p w14:paraId="2D99A40A" w14:textId="77777777" w:rsidR="00E0011B" w:rsidRDefault="318CA580" w:rsidP="318CA580">
            <w:pPr>
              <w:pStyle w:val="ListBullet"/>
              <w:spacing w:after="20"/>
              <w:rPr>
                <w:rFonts w:eastAsia="Arial"/>
                <w:sz w:val="16"/>
                <w:szCs w:val="16"/>
              </w:rPr>
            </w:pPr>
            <w:r w:rsidRPr="318CA580">
              <w:rPr>
                <w:rFonts w:eastAsia="Arial"/>
                <w:sz w:val="16"/>
                <w:szCs w:val="16"/>
              </w:rPr>
              <w:t>Ability to support occasional site-based asset audits or stock reviews where required.</w:t>
            </w:r>
          </w:p>
        </w:tc>
      </w:tr>
      <w:tr w:rsidR="00E0011B" w14:paraId="6D013019" w14:textId="77777777" w:rsidTr="318CA580">
        <w:tc>
          <w:tcPr>
            <w:tcW w:w="3141" w:type="dxa"/>
            <w:shd w:val="clear" w:color="auto" w:fill="F9F9F9"/>
          </w:tcPr>
          <w:p w14:paraId="5F2F2452"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Equality</w:t>
            </w:r>
          </w:p>
        </w:tc>
        <w:tc>
          <w:tcPr>
            <w:tcW w:w="3579" w:type="dxa"/>
          </w:tcPr>
          <w:p w14:paraId="69734FAD" w14:textId="77777777" w:rsidR="00E0011B" w:rsidRDefault="318CA580" w:rsidP="318CA580">
            <w:pPr>
              <w:pStyle w:val="ListBullet"/>
              <w:spacing w:after="20"/>
              <w:rPr>
                <w:rFonts w:eastAsia="Arial"/>
                <w:sz w:val="16"/>
                <w:szCs w:val="16"/>
              </w:rPr>
            </w:pPr>
            <w:r w:rsidRPr="318CA580">
              <w:rPr>
                <w:rFonts w:eastAsia="Arial"/>
                <w:sz w:val="16"/>
                <w:szCs w:val="16"/>
              </w:rPr>
              <w:t>Candidates should indicate acceptance of and commitment to the principles underlying NHS Professionals’ Equality and Diversity and Health and Safety Policies.</w:t>
            </w:r>
          </w:p>
        </w:tc>
        <w:tc>
          <w:tcPr>
            <w:tcW w:w="3360" w:type="dxa"/>
          </w:tcPr>
          <w:p w14:paraId="755138EC" w14:textId="77777777" w:rsidR="00E0011B" w:rsidRDefault="318CA580" w:rsidP="318CA580">
            <w:pPr>
              <w:pStyle w:val="ListBullet"/>
              <w:spacing w:after="20"/>
              <w:rPr>
                <w:rFonts w:eastAsia="Arial"/>
                <w:sz w:val="16"/>
                <w:szCs w:val="16"/>
              </w:rPr>
            </w:pPr>
            <w:r w:rsidRPr="318CA580">
              <w:rPr>
                <w:rFonts w:eastAsia="Arial"/>
                <w:sz w:val="16"/>
                <w:szCs w:val="16"/>
              </w:rPr>
              <w:t>Demonstrable commitment to inclusive, respectful and professional ways of working.</w:t>
            </w:r>
          </w:p>
        </w:tc>
      </w:tr>
    </w:tbl>
    <w:p w14:paraId="5EC62BDD" w14:textId="77777777" w:rsidR="00E0011B" w:rsidRDefault="318CA580" w:rsidP="318CA580">
      <w:pPr>
        <w:spacing w:before="160" w:after="60"/>
        <w:rPr>
          <w:rFonts w:ascii="Arial" w:eastAsia="Arial" w:hAnsi="Arial" w:cs="Arial"/>
          <w:b/>
          <w:bCs/>
          <w:sz w:val="22"/>
        </w:rPr>
      </w:pPr>
      <w:r w:rsidRPr="318CA580">
        <w:rPr>
          <w:rFonts w:ascii="Arial" w:eastAsia="Arial" w:hAnsi="Arial" w:cs="Arial"/>
          <w:b/>
          <w:bCs/>
          <w:sz w:val="22"/>
        </w:rPr>
        <w:t>SFIA Attributes - Role Expectations</w:t>
      </w:r>
    </w:p>
    <w:tbl>
      <w:tblPr>
        <w:tblStyle w:val="TableGrid"/>
        <w:tblW w:w="10080" w:type="dxa"/>
        <w:tblLook w:val="04A0" w:firstRow="1" w:lastRow="0" w:firstColumn="1" w:lastColumn="0" w:noHBand="0" w:noVBand="1"/>
      </w:tblPr>
      <w:tblGrid>
        <w:gridCol w:w="1680"/>
        <w:gridCol w:w="1427"/>
        <w:gridCol w:w="6973"/>
      </w:tblGrid>
      <w:tr w:rsidR="00E0011B" w14:paraId="3176B2B6" w14:textId="77777777" w:rsidTr="318CA580">
        <w:tc>
          <w:tcPr>
            <w:tcW w:w="1680" w:type="dxa"/>
            <w:shd w:val="clear" w:color="auto" w:fill="F2F2F2" w:themeFill="background1" w:themeFillShade="F2"/>
          </w:tcPr>
          <w:p w14:paraId="05A005AD"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Attribute</w:t>
            </w:r>
          </w:p>
        </w:tc>
        <w:tc>
          <w:tcPr>
            <w:tcW w:w="1427" w:type="dxa"/>
            <w:shd w:val="clear" w:color="auto" w:fill="F2F2F2" w:themeFill="background1" w:themeFillShade="F2"/>
          </w:tcPr>
          <w:p w14:paraId="0CFFFD6B"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Level</w:t>
            </w:r>
          </w:p>
        </w:tc>
        <w:tc>
          <w:tcPr>
            <w:tcW w:w="6973" w:type="dxa"/>
            <w:shd w:val="clear" w:color="auto" w:fill="F2F2F2" w:themeFill="background1" w:themeFillShade="F2"/>
          </w:tcPr>
          <w:p w14:paraId="612123E1" w14:textId="77777777" w:rsidR="00E0011B" w:rsidRDefault="318CA580" w:rsidP="318CA580">
            <w:pPr>
              <w:spacing w:after="40"/>
              <w:rPr>
                <w:rFonts w:ascii="Arial" w:eastAsia="Arial" w:hAnsi="Arial" w:cs="Arial"/>
                <w:b/>
                <w:bCs/>
                <w:color w:val="000000" w:themeColor="text1"/>
                <w:sz w:val="17"/>
                <w:szCs w:val="17"/>
              </w:rPr>
            </w:pPr>
            <w:r w:rsidRPr="318CA580">
              <w:rPr>
                <w:rFonts w:ascii="Arial" w:eastAsia="Arial" w:hAnsi="Arial" w:cs="Arial"/>
                <w:b/>
                <w:bCs/>
                <w:color w:val="000000"/>
                <w:sz w:val="17"/>
                <w:szCs w:val="17"/>
              </w:rPr>
              <w:t>Expectation</w:t>
            </w:r>
          </w:p>
        </w:tc>
      </w:tr>
      <w:tr w:rsidR="00E0011B" w14:paraId="6160EC44" w14:textId="77777777" w:rsidTr="318CA580">
        <w:tc>
          <w:tcPr>
            <w:tcW w:w="1680" w:type="dxa"/>
          </w:tcPr>
          <w:p w14:paraId="036C4C74"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Autonomy</w:t>
            </w:r>
          </w:p>
        </w:tc>
        <w:tc>
          <w:tcPr>
            <w:tcW w:w="1427" w:type="dxa"/>
          </w:tcPr>
          <w:p w14:paraId="410C52E3"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Level 5</w:t>
            </w:r>
          </w:p>
        </w:tc>
        <w:tc>
          <w:tcPr>
            <w:tcW w:w="6973" w:type="dxa"/>
          </w:tcPr>
          <w:p w14:paraId="3E48A3C6"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Works under broad direction, is accountable for asset and configuration management outcomes, and exercises judgement within agreed governance.</w:t>
            </w:r>
          </w:p>
        </w:tc>
      </w:tr>
      <w:tr w:rsidR="00E0011B" w14:paraId="7DDAAC98" w14:textId="77777777" w:rsidTr="318CA580">
        <w:tc>
          <w:tcPr>
            <w:tcW w:w="1680" w:type="dxa"/>
          </w:tcPr>
          <w:p w14:paraId="03A4C208"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Influence</w:t>
            </w:r>
          </w:p>
        </w:tc>
        <w:tc>
          <w:tcPr>
            <w:tcW w:w="1427" w:type="dxa"/>
          </w:tcPr>
          <w:p w14:paraId="0F99C911"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Level 5</w:t>
            </w:r>
          </w:p>
        </w:tc>
        <w:tc>
          <w:tcPr>
            <w:tcW w:w="6973" w:type="dxa"/>
          </w:tcPr>
          <w:p w14:paraId="61580EC7"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Influences IT, suppliers, finance, procurement and operational stakeholders on asset control, lifecycle planning and compliance.</w:t>
            </w:r>
          </w:p>
        </w:tc>
      </w:tr>
      <w:tr w:rsidR="00E0011B" w14:paraId="39B3E1E8" w14:textId="77777777" w:rsidTr="318CA580">
        <w:tc>
          <w:tcPr>
            <w:tcW w:w="1680" w:type="dxa"/>
          </w:tcPr>
          <w:p w14:paraId="66FAE1B9"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Complexity</w:t>
            </w:r>
          </w:p>
        </w:tc>
        <w:tc>
          <w:tcPr>
            <w:tcW w:w="1427" w:type="dxa"/>
          </w:tcPr>
          <w:p w14:paraId="7CD7D1C8"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Level 5</w:t>
            </w:r>
          </w:p>
        </w:tc>
        <w:tc>
          <w:tcPr>
            <w:tcW w:w="6973" w:type="dxa"/>
          </w:tcPr>
          <w:p w14:paraId="449A820E"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Manages a broad, complex asset portfolio across hardware, software, cloud services, contracts, licences, warranties and configuration relationships.</w:t>
            </w:r>
          </w:p>
        </w:tc>
      </w:tr>
      <w:tr w:rsidR="00E0011B" w14:paraId="72AC2570" w14:textId="77777777" w:rsidTr="318CA580">
        <w:tc>
          <w:tcPr>
            <w:tcW w:w="1680" w:type="dxa"/>
          </w:tcPr>
          <w:p w14:paraId="1FB917AD"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Knowledge</w:t>
            </w:r>
          </w:p>
        </w:tc>
        <w:tc>
          <w:tcPr>
            <w:tcW w:w="1427" w:type="dxa"/>
          </w:tcPr>
          <w:p w14:paraId="158E2610"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Level 5</w:t>
            </w:r>
          </w:p>
        </w:tc>
        <w:tc>
          <w:tcPr>
            <w:tcW w:w="6973" w:type="dxa"/>
          </w:tcPr>
          <w:p w14:paraId="1D342403"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Applies a strong knowledge of ITAM, SAM, SACM, ITIL, discovery tooling, compliance and service management practices.</w:t>
            </w:r>
          </w:p>
        </w:tc>
      </w:tr>
      <w:tr w:rsidR="00E0011B" w14:paraId="2F9C0BEA" w14:textId="77777777" w:rsidTr="318CA580">
        <w:tc>
          <w:tcPr>
            <w:tcW w:w="1680" w:type="dxa"/>
          </w:tcPr>
          <w:p w14:paraId="6C9AC6AA" w14:textId="77777777" w:rsidR="00E0011B" w:rsidRDefault="318CA580" w:rsidP="318CA580">
            <w:pPr>
              <w:spacing w:after="40"/>
              <w:rPr>
                <w:rFonts w:ascii="Arial" w:eastAsia="Arial" w:hAnsi="Arial" w:cs="Arial"/>
                <w:b/>
                <w:bCs/>
                <w:color w:val="000000" w:themeColor="text1"/>
                <w:sz w:val="16"/>
                <w:szCs w:val="16"/>
              </w:rPr>
            </w:pPr>
            <w:r w:rsidRPr="318CA580">
              <w:rPr>
                <w:rFonts w:ascii="Arial" w:eastAsia="Arial" w:hAnsi="Arial" w:cs="Arial"/>
                <w:b/>
                <w:bCs/>
                <w:color w:val="000000"/>
                <w:sz w:val="16"/>
                <w:szCs w:val="16"/>
              </w:rPr>
              <w:t>Business Skills</w:t>
            </w:r>
          </w:p>
        </w:tc>
        <w:tc>
          <w:tcPr>
            <w:tcW w:w="1427" w:type="dxa"/>
          </w:tcPr>
          <w:p w14:paraId="504C5C68"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Level 5</w:t>
            </w:r>
          </w:p>
        </w:tc>
        <w:tc>
          <w:tcPr>
            <w:tcW w:w="6973" w:type="dxa"/>
          </w:tcPr>
          <w:p w14:paraId="4C3E6D91" w14:textId="77777777" w:rsidR="00E0011B" w:rsidRDefault="318CA580" w:rsidP="318CA580">
            <w:pPr>
              <w:spacing w:after="40"/>
              <w:rPr>
                <w:rFonts w:ascii="Arial" w:eastAsia="Arial" w:hAnsi="Arial" w:cs="Arial"/>
                <w:color w:val="000000" w:themeColor="text1"/>
                <w:sz w:val="16"/>
                <w:szCs w:val="16"/>
              </w:rPr>
            </w:pPr>
            <w:r w:rsidRPr="318CA580">
              <w:rPr>
                <w:rFonts w:ascii="Arial" w:eastAsia="Arial" w:hAnsi="Arial" w:cs="Arial"/>
                <w:color w:val="000000"/>
                <w:sz w:val="16"/>
                <w:szCs w:val="16"/>
              </w:rPr>
              <w:t>Communicates clearly, manages risk, produces decision-quality reporting and drives continual improvement in asset governance and service value.</w:t>
            </w:r>
          </w:p>
        </w:tc>
      </w:tr>
    </w:tbl>
    <w:p w14:paraId="303C8570" w14:textId="77777777" w:rsidR="00381ABE" w:rsidRDefault="00381ABE"/>
    <w:sectPr w:rsidR="00381ABE" w:rsidSect="007F6BDE">
      <w:footerReference w:type="default" r:id="rId15"/>
      <w:pgSz w:w="12240" w:h="15840"/>
      <w:pgMar w:top="1008" w:right="1080" w:bottom="1008"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D714" w14:textId="77777777" w:rsidR="00FD24E9" w:rsidRPr="000F4479" w:rsidRDefault="00FD24E9">
      <w:pPr>
        <w:spacing w:after="0" w:line="240" w:lineRule="auto"/>
      </w:pPr>
      <w:r w:rsidRPr="000F4479">
        <w:separator/>
      </w:r>
    </w:p>
  </w:endnote>
  <w:endnote w:type="continuationSeparator" w:id="0">
    <w:p w14:paraId="59F671FD" w14:textId="77777777" w:rsidR="00FD24E9" w:rsidRPr="000F4479" w:rsidRDefault="00FD24E9">
      <w:pPr>
        <w:spacing w:after="0" w:line="240" w:lineRule="auto"/>
      </w:pPr>
      <w:r w:rsidRPr="000F4479">
        <w:continuationSeparator/>
      </w:r>
    </w:p>
  </w:endnote>
  <w:endnote w:type="continuationNotice" w:id="1">
    <w:p w14:paraId="684A297D" w14:textId="77777777" w:rsidR="00FD24E9" w:rsidRPr="000F4479" w:rsidRDefault="00FD24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4CD3" w14:textId="7D19C331" w:rsidR="1D4CD73F" w:rsidRDefault="1D4CD73F" w:rsidP="1D4CD73F">
    <w:pPr>
      <w:pStyle w:val="Footer"/>
      <w:jc w:val="center"/>
    </w:pPr>
    <w:r w:rsidRPr="1D4CD73F">
      <w:rPr>
        <w:rFonts w:ascii="Aptos" w:eastAsia="Aptos" w:hAnsi="Aptos" w:cs="Aptos"/>
        <w:sz w:val="16"/>
        <w:szCs w:val="16"/>
      </w:rPr>
      <w:t>NHS Professionals — IT Asset Manager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C69D6" w14:textId="77777777" w:rsidR="00FD24E9" w:rsidRPr="000F4479" w:rsidRDefault="00FD24E9">
      <w:pPr>
        <w:spacing w:after="0" w:line="240" w:lineRule="auto"/>
      </w:pPr>
      <w:r w:rsidRPr="000F4479">
        <w:separator/>
      </w:r>
    </w:p>
  </w:footnote>
  <w:footnote w:type="continuationSeparator" w:id="0">
    <w:p w14:paraId="7B4FDBD9" w14:textId="77777777" w:rsidR="00FD24E9" w:rsidRPr="000F4479" w:rsidRDefault="00FD24E9">
      <w:pPr>
        <w:spacing w:after="0" w:line="240" w:lineRule="auto"/>
      </w:pPr>
      <w:r w:rsidRPr="000F4479">
        <w:continuationSeparator/>
      </w:r>
    </w:p>
  </w:footnote>
  <w:footnote w:type="continuationNotice" w:id="1">
    <w:p w14:paraId="66951C27" w14:textId="77777777" w:rsidR="00FD24E9" w:rsidRPr="000F4479" w:rsidRDefault="00FD24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E6B02"/>
    <w:multiLevelType w:val="hybridMultilevel"/>
    <w:tmpl w:val="1996EED0"/>
    <w:lvl w:ilvl="0" w:tplc="23FA70F4">
      <w:start w:val="1"/>
      <w:numFmt w:val="bullet"/>
      <w:pStyle w:val="List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16cid:durableId="4301263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F0"/>
    <w:rsid w:val="00001085"/>
    <w:rsid w:val="000032F9"/>
    <w:rsid w:val="00005B5C"/>
    <w:rsid w:val="00006129"/>
    <w:rsid w:val="00006E61"/>
    <w:rsid w:val="00023387"/>
    <w:rsid w:val="00023C54"/>
    <w:rsid w:val="000300CA"/>
    <w:rsid w:val="00031576"/>
    <w:rsid w:val="00032106"/>
    <w:rsid w:val="00036DF0"/>
    <w:rsid w:val="00037FC9"/>
    <w:rsid w:val="00051777"/>
    <w:rsid w:val="0005437E"/>
    <w:rsid w:val="00055BF8"/>
    <w:rsid w:val="00057058"/>
    <w:rsid w:val="00057A9B"/>
    <w:rsid w:val="000615D7"/>
    <w:rsid w:val="00064D73"/>
    <w:rsid w:val="00065F8E"/>
    <w:rsid w:val="00072224"/>
    <w:rsid w:val="00097005"/>
    <w:rsid w:val="000B1B24"/>
    <w:rsid w:val="000C0EE5"/>
    <w:rsid w:val="000C315E"/>
    <w:rsid w:val="000C4470"/>
    <w:rsid w:val="000D6563"/>
    <w:rsid w:val="000F4479"/>
    <w:rsid w:val="0010002A"/>
    <w:rsid w:val="00102ADC"/>
    <w:rsid w:val="001069A7"/>
    <w:rsid w:val="001141C4"/>
    <w:rsid w:val="00115123"/>
    <w:rsid w:val="001179A9"/>
    <w:rsid w:val="00121D95"/>
    <w:rsid w:val="00125842"/>
    <w:rsid w:val="001351A7"/>
    <w:rsid w:val="00135574"/>
    <w:rsid w:val="00144DAF"/>
    <w:rsid w:val="00147A1B"/>
    <w:rsid w:val="00162F90"/>
    <w:rsid w:val="0016510E"/>
    <w:rsid w:val="001717D0"/>
    <w:rsid w:val="00173F79"/>
    <w:rsid w:val="00174163"/>
    <w:rsid w:val="0017604E"/>
    <w:rsid w:val="001773B8"/>
    <w:rsid w:val="001817AB"/>
    <w:rsid w:val="00182265"/>
    <w:rsid w:val="001837D7"/>
    <w:rsid w:val="00183A74"/>
    <w:rsid w:val="00185CA2"/>
    <w:rsid w:val="00196834"/>
    <w:rsid w:val="001A2CEB"/>
    <w:rsid w:val="001A4753"/>
    <w:rsid w:val="001B4D27"/>
    <w:rsid w:val="001C1F42"/>
    <w:rsid w:val="001C1FED"/>
    <w:rsid w:val="001C4235"/>
    <w:rsid w:val="001D6359"/>
    <w:rsid w:val="001E0354"/>
    <w:rsid w:val="001E3B8A"/>
    <w:rsid w:val="001E6C1D"/>
    <w:rsid w:val="001E7BE9"/>
    <w:rsid w:val="001F7371"/>
    <w:rsid w:val="001F7D00"/>
    <w:rsid w:val="0020257E"/>
    <w:rsid w:val="002136BE"/>
    <w:rsid w:val="00214046"/>
    <w:rsid w:val="002173F2"/>
    <w:rsid w:val="002203F6"/>
    <w:rsid w:val="00225DD0"/>
    <w:rsid w:val="00232561"/>
    <w:rsid w:val="002337F7"/>
    <w:rsid w:val="002427F9"/>
    <w:rsid w:val="00246148"/>
    <w:rsid w:val="00257749"/>
    <w:rsid w:val="0027321E"/>
    <w:rsid w:val="00273A03"/>
    <w:rsid w:val="00281C8F"/>
    <w:rsid w:val="00284984"/>
    <w:rsid w:val="00285A14"/>
    <w:rsid w:val="002863C0"/>
    <w:rsid w:val="002947EE"/>
    <w:rsid w:val="00295CBA"/>
    <w:rsid w:val="00296E46"/>
    <w:rsid w:val="002B6348"/>
    <w:rsid w:val="002B7328"/>
    <w:rsid w:val="002C341B"/>
    <w:rsid w:val="002C6A1D"/>
    <w:rsid w:val="002D1D48"/>
    <w:rsid w:val="002E22EF"/>
    <w:rsid w:val="002E50DC"/>
    <w:rsid w:val="002F1B08"/>
    <w:rsid w:val="002F55B3"/>
    <w:rsid w:val="003009C8"/>
    <w:rsid w:val="003012C7"/>
    <w:rsid w:val="00304890"/>
    <w:rsid w:val="00310CE7"/>
    <w:rsid w:val="00313F08"/>
    <w:rsid w:val="0032270C"/>
    <w:rsid w:val="00322950"/>
    <w:rsid w:val="00327D7C"/>
    <w:rsid w:val="00327F56"/>
    <w:rsid w:val="0033175A"/>
    <w:rsid w:val="00335089"/>
    <w:rsid w:val="0033791F"/>
    <w:rsid w:val="00343012"/>
    <w:rsid w:val="00343528"/>
    <w:rsid w:val="00350579"/>
    <w:rsid w:val="00370B59"/>
    <w:rsid w:val="00373D0C"/>
    <w:rsid w:val="00373D51"/>
    <w:rsid w:val="003750BE"/>
    <w:rsid w:val="00381ABE"/>
    <w:rsid w:val="00383E63"/>
    <w:rsid w:val="00390AF6"/>
    <w:rsid w:val="00391676"/>
    <w:rsid w:val="00391FA4"/>
    <w:rsid w:val="003930B4"/>
    <w:rsid w:val="00394CDD"/>
    <w:rsid w:val="0039795C"/>
    <w:rsid w:val="003A0F37"/>
    <w:rsid w:val="003A7906"/>
    <w:rsid w:val="003B6164"/>
    <w:rsid w:val="003B7F98"/>
    <w:rsid w:val="003C7717"/>
    <w:rsid w:val="003D040E"/>
    <w:rsid w:val="003E512F"/>
    <w:rsid w:val="003E5DCA"/>
    <w:rsid w:val="00400478"/>
    <w:rsid w:val="00402224"/>
    <w:rsid w:val="00404D9C"/>
    <w:rsid w:val="00405A1D"/>
    <w:rsid w:val="00407FF2"/>
    <w:rsid w:val="0041007C"/>
    <w:rsid w:val="004119EB"/>
    <w:rsid w:val="00413B4A"/>
    <w:rsid w:val="00420C0C"/>
    <w:rsid w:val="00421799"/>
    <w:rsid w:val="00434FAE"/>
    <w:rsid w:val="00435144"/>
    <w:rsid w:val="00436CF0"/>
    <w:rsid w:val="004375C7"/>
    <w:rsid w:val="0044283A"/>
    <w:rsid w:val="00454016"/>
    <w:rsid w:val="00461CBC"/>
    <w:rsid w:val="00462344"/>
    <w:rsid w:val="00463A8E"/>
    <w:rsid w:val="00467AB2"/>
    <w:rsid w:val="00467B0F"/>
    <w:rsid w:val="004709B8"/>
    <w:rsid w:val="0047182E"/>
    <w:rsid w:val="00475342"/>
    <w:rsid w:val="00475AE5"/>
    <w:rsid w:val="00476BC2"/>
    <w:rsid w:val="00482458"/>
    <w:rsid w:val="00482C20"/>
    <w:rsid w:val="00483439"/>
    <w:rsid w:val="00493EF3"/>
    <w:rsid w:val="00493F06"/>
    <w:rsid w:val="00495EFA"/>
    <w:rsid w:val="00496830"/>
    <w:rsid w:val="004A45E9"/>
    <w:rsid w:val="004A4F18"/>
    <w:rsid w:val="004B4C9D"/>
    <w:rsid w:val="004C2D02"/>
    <w:rsid w:val="004C3653"/>
    <w:rsid w:val="004E1877"/>
    <w:rsid w:val="004F474C"/>
    <w:rsid w:val="005005C1"/>
    <w:rsid w:val="005036D5"/>
    <w:rsid w:val="00510BD4"/>
    <w:rsid w:val="00516AE2"/>
    <w:rsid w:val="005200F0"/>
    <w:rsid w:val="0052197F"/>
    <w:rsid w:val="00525395"/>
    <w:rsid w:val="005258B5"/>
    <w:rsid w:val="0054263E"/>
    <w:rsid w:val="00543BAB"/>
    <w:rsid w:val="00546AB2"/>
    <w:rsid w:val="0055329D"/>
    <w:rsid w:val="00555711"/>
    <w:rsid w:val="005558C5"/>
    <w:rsid w:val="005609BA"/>
    <w:rsid w:val="00582B23"/>
    <w:rsid w:val="00586EF1"/>
    <w:rsid w:val="00593878"/>
    <w:rsid w:val="005A742E"/>
    <w:rsid w:val="005B5477"/>
    <w:rsid w:val="005B65A8"/>
    <w:rsid w:val="005C041E"/>
    <w:rsid w:val="005D0DC1"/>
    <w:rsid w:val="005D0F6B"/>
    <w:rsid w:val="005D1E05"/>
    <w:rsid w:val="005D3EC5"/>
    <w:rsid w:val="005D4E3F"/>
    <w:rsid w:val="005D5F7D"/>
    <w:rsid w:val="005D78E0"/>
    <w:rsid w:val="005E1B09"/>
    <w:rsid w:val="005E2F74"/>
    <w:rsid w:val="005E58F8"/>
    <w:rsid w:val="005F61B2"/>
    <w:rsid w:val="00610AFF"/>
    <w:rsid w:val="006125F5"/>
    <w:rsid w:val="006163A3"/>
    <w:rsid w:val="0062232A"/>
    <w:rsid w:val="00626E30"/>
    <w:rsid w:val="0063033D"/>
    <w:rsid w:val="00645207"/>
    <w:rsid w:val="006501E1"/>
    <w:rsid w:val="0065125B"/>
    <w:rsid w:val="00652476"/>
    <w:rsid w:val="00652641"/>
    <w:rsid w:val="00654910"/>
    <w:rsid w:val="00665C56"/>
    <w:rsid w:val="00672EF4"/>
    <w:rsid w:val="00677464"/>
    <w:rsid w:val="00682EA4"/>
    <w:rsid w:val="00690E8F"/>
    <w:rsid w:val="00693A61"/>
    <w:rsid w:val="006A2587"/>
    <w:rsid w:val="006B09AD"/>
    <w:rsid w:val="006B1055"/>
    <w:rsid w:val="006C117F"/>
    <w:rsid w:val="006C3840"/>
    <w:rsid w:val="006C7582"/>
    <w:rsid w:val="006D53CD"/>
    <w:rsid w:val="006D77E4"/>
    <w:rsid w:val="006D7A0C"/>
    <w:rsid w:val="006E1F48"/>
    <w:rsid w:val="006E6198"/>
    <w:rsid w:val="006F328F"/>
    <w:rsid w:val="006F4A1D"/>
    <w:rsid w:val="006F5108"/>
    <w:rsid w:val="006F6A05"/>
    <w:rsid w:val="006F7601"/>
    <w:rsid w:val="006F7BF8"/>
    <w:rsid w:val="00700B95"/>
    <w:rsid w:val="00701F63"/>
    <w:rsid w:val="007035B6"/>
    <w:rsid w:val="00713D9D"/>
    <w:rsid w:val="00716A7E"/>
    <w:rsid w:val="00717736"/>
    <w:rsid w:val="00722EAA"/>
    <w:rsid w:val="00730685"/>
    <w:rsid w:val="00741B05"/>
    <w:rsid w:val="007443F5"/>
    <w:rsid w:val="007458ED"/>
    <w:rsid w:val="0074685B"/>
    <w:rsid w:val="0075485C"/>
    <w:rsid w:val="00756E57"/>
    <w:rsid w:val="0075790A"/>
    <w:rsid w:val="0076203E"/>
    <w:rsid w:val="007622DC"/>
    <w:rsid w:val="00762A55"/>
    <w:rsid w:val="00764288"/>
    <w:rsid w:val="00781369"/>
    <w:rsid w:val="00784891"/>
    <w:rsid w:val="00787BC8"/>
    <w:rsid w:val="00790B5C"/>
    <w:rsid w:val="00791C0B"/>
    <w:rsid w:val="0079250E"/>
    <w:rsid w:val="00792B88"/>
    <w:rsid w:val="007931D7"/>
    <w:rsid w:val="007936CA"/>
    <w:rsid w:val="007A11DC"/>
    <w:rsid w:val="007A3FD7"/>
    <w:rsid w:val="007A4088"/>
    <w:rsid w:val="007B0DB4"/>
    <w:rsid w:val="007B355A"/>
    <w:rsid w:val="007B4F2E"/>
    <w:rsid w:val="007B64EE"/>
    <w:rsid w:val="007C5748"/>
    <w:rsid w:val="007E14B8"/>
    <w:rsid w:val="007E22AF"/>
    <w:rsid w:val="007E4789"/>
    <w:rsid w:val="007F66A5"/>
    <w:rsid w:val="007F6BDE"/>
    <w:rsid w:val="00803487"/>
    <w:rsid w:val="0080462A"/>
    <w:rsid w:val="00804AF3"/>
    <w:rsid w:val="00807747"/>
    <w:rsid w:val="008143F6"/>
    <w:rsid w:val="00816644"/>
    <w:rsid w:val="008207FF"/>
    <w:rsid w:val="00822590"/>
    <w:rsid w:val="008229A9"/>
    <w:rsid w:val="00827D28"/>
    <w:rsid w:val="00835552"/>
    <w:rsid w:val="00835556"/>
    <w:rsid w:val="008437A0"/>
    <w:rsid w:val="00846314"/>
    <w:rsid w:val="00850732"/>
    <w:rsid w:val="008603D0"/>
    <w:rsid w:val="0086522D"/>
    <w:rsid w:val="00867020"/>
    <w:rsid w:val="00870119"/>
    <w:rsid w:val="0088320B"/>
    <w:rsid w:val="00883F08"/>
    <w:rsid w:val="00886349"/>
    <w:rsid w:val="00886B10"/>
    <w:rsid w:val="008931B8"/>
    <w:rsid w:val="008A714F"/>
    <w:rsid w:val="008B07A4"/>
    <w:rsid w:val="008B428C"/>
    <w:rsid w:val="008B43A3"/>
    <w:rsid w:val="008B71E7"/>
    <w:rsid w:val="008C4D75"/>
    <w:rsid w:val="008C5E2D"/>
    <w:rsid w:val="008D01DB"/>
    <w:rsid w:val="008D103D"/>
    <w:rsid w:val="008D1168"/>
    <w:rsid w:val="008D2A43"/>
    <w:rsid w:val="008E245D"/>
    <w:rsid w:val="008E40FF"/>
    <w:rsid w:val="008F402B"/>
    <w:rsid w:val="008F738A"/>
    <w:rsid w:val="009046F5"/>
    <w:rsid w:val="009064B0"/>
    <w:rsid w:val="00913E25"/>
    <w:rsid w:val="00914579"/>
    <w:rsid w:val="00915B4B"/>
    <w:rsid w:val="0092116E"/>
    <w:rsid w:val="00924AB3"/>
    <w:rsid w:val="00927B49"/>
    <w:rsid w:val="00934291"/>
    <w:rsid w:val="00935C51"/>
    <w:rsid w:val="00935D3D"/>
    <w:rsid w:val="009360B8"/>
    <w:rsid w:val="00947395"/>
    <w:rsid w:val="00953529"/>
    <w:rsid w:val="009632C9"/>
    <w:rsid w:val="0096399A"/>
    <w:rsid w:val="00966BD9"/>
    <w:rsid w:val="0097031D"/>
    <w:rsid w:val="00972FE7"/>
    <w:rsid w:val="00973701"/>
    <w:rsid w:val="00974E4D"/>
    <w:rsid w:val="00980F83"/>
    <w:rsid w:val="009869B1"/>
    <w:rsid w:val="00987C23"/>
    <w:rsid w:val="00991AF8"/>
    <w:rsid w:val="009933AC"/>
    <w:rsid w:val="009A4CE5"/>
    <w:rsid w:val="009A730D"/>
    <w:rsid w:val="009B06EC"/>
    <w:rsid w:val="009B0AAD"/>
    <w:rsid w:val="009B1D2D"/>
    <w:rsid w:val="009B339E"/>
    <w:rsid w:val="009C128D"/>
    <w:rsid w:val="009C351B"/>
    <w:rsid w:val="009C39D0"/>
    <w:rsid w:val="009C5A77"/>
    <w:rsid w:val="009D579E"/>
    <w:rsid w:val="009D679B"/>
    <w:rsid w:val="009D7976"/>
    <w:rsid w:val="009E3321"/>
    <w:rsid w:val="009E48DC"/>
    <w:rsid w:val="009E7F49"/>
    <w:rsid w:val="009F0A12"/>
    <w:rsid w:val="009F491C"/>
    <w:rsid w:val="009F4BF6"/>
    <w:rsid w:val="009F5D01"/>
    <w:rsid w:val="00A044F1"/>
    <w:rsid w:val="00A06A12"/>
    <w:rsid w:val="00A10D3E"/>
    <w:rsid w:val="00A14AF8"/>
    <w:rsid w:val="00A1658F"/>
    <w:rsid w:val="00A3142D"/>
    <w:rsid w:val="00A3267B"/>
    <w:rsid w:val="00A37812"/>
    <w:rsid w:val="00A42327"/>
    <w:rsid w:val="00A42B12"/>
    <w:rsid w:val="00A4448A"/>
    <w:rsid w:val="00A54ADF"/>
    <w:rsid w:val="00A5568E"/>
    <w:rsid w:val="00A55D70"/>
    <w:rsid w:val="00A573A4"/>
    <w:rsid w:val="00A652FE"/>
    <w:rsid w:val="00A77A5A"/>
    <w:rsid w:val="00A81123"/>
    <w:rsid w:val="00A82C4F"/>
    <w:rsid w:val="00A83BB0"/>
    <w:rsid w:val="00A95519"/>
    <w:rsid w:val="00A95810"/>
    <w:rsid w:val="00AB0AC1"/>
    <w:rsid w:val="00AB1E35"/>
    <w:rsid w:val="00AB4E03"/>
    <w:rsid w:val="00AC1D26"/>
    <w:rsid w:val="00AD00B9"/>
    <w:rsid w:val="00AD6668"/>
    <w:rsid w:val="00AD7451"/>
    <w:rsid w:val="00AD7EAF"/>
    <w:rsid w:val="00AE00DC"/>
    <w:rsid w:val="00AF4172"/>
    <w:rsid w:val="00AF7ED5"/>
    <w:rsid w:val="00B025C5"/>
    <w:rsid w:val="00B05EB2"/>
    <w:rsid w:val="00B0734D"/>
    <w:rsid w:val="00B203CF"/>
    <w:rsid w:val="00B232AD"/>
    <w:rsid w:val="00B26D38"/>
    <w:rsid w:val="00B300FD"/>
    <w:rsid w:val="00B316D4"/>
    <w:rsid w:val="00B45545"/>
    <w:rsid w:val="00B54A48"/>
    <w:rsid w:val="00B55813"/>
    <w:rsid w:val="00B5584F"/>
    <w:rsid w:val="00B625FD"/>
    <w:rsid w:val="00B641C9"/>
    <w:rsid w:val="00B71D9B"/>
    <w:rsid w:val="00B7318D"/>
    <w:rsid w:val="00B75DEA"/>
    <w:rsid w:val="00B82207"/>
    <w:rsid w:val="00BA057D"/>
    <w:rsid w:val="00BD1ED7"/>
    <w:rsid w:val="00BD347E"/>
    <w:rsid w:val="00BE50B3"/>
    <w:rsid w:val="00BE6F5C"/>
    <w:rsid w:val="00BF2D80"/>
    <w:rsid w:val="00BF516E"/>
    <w:rsid w:val="00BF67DB"/>
    <w:rsid w:val="00BF6ED3"/>
    <w:rsid w:val="00C018C9"/>
    <w:rsid w:val="00C0196F"/>
    <w:rsid w:val="00C05FF6"/>
    <w:rsid w:val="00C14DAA"/>
    <w:rsid w:val="00C21611"/>
    <w:rsid w:val="00C33E89"/>
    <w:rsid w:val="00C35194"/>
    <w:rsid w:val="00C35C51"/>
    <w:rsid w:val="00C47D01"/>
    <w:rsid w:val="00C50850"/>
    <w:rsid w:val="00C52ED0"/>
    <w:rsid w:val="00C53D38"/>
    <w:rsid w:val="00C70DE2"/>
    <w:rsid w:val="00C768FC"/>
    <w:rsid w:val="00C76959"/>
    <w:rsid w:val="00C8248F"/>
    <w:rsid w:val="00C93275"/>
    <w:rsid w:val="00C9611F"/>
    <w:rsid w:val="00CA11F8"/>
    <w:rsid w:val="00CA4960"/>
    <w:rsid w:val="00CA748A"/>
    <w:rsid w:val="00CB0CF1"/>
    <w:rsid w:val="00CB16A9"/>
    <w:rsid w:val="00CB3EEF"/>
    <w:rsid w:val="00CB5169"/>
    <w:rsid w:val="00CB7596"/>
    <w:rsid w:val="00CC2298"/>
    <w:rsid w:val="00CC2D3F"/>
    <w:rsid w:val="00CC5D71"/>
    <w:rsid w:val="00CD1D2D"/>
    <w:rsid w:val="00CD5195"/>
    <w:rsid w:val="00CD70B5"/>
    <w:rsid w:val="00CD7149"/>
    <w:rsid w:val="00CE1A54"/>
    <w:rsid w:val="00CE5011"/>
    <w:rsid w:val="00CE5E37"/>
    <w:rsid w:val="00CF6A17"/>
    <w:rsid w:val="00D01C98"/>
    <w:rsid w:val="00D04A5D"/>
    <w:rsid w:val="00D07BF7"/>
    <w:rsid w:val="00D11BC9"/>
    <w:rsid w:val="00D15864"/>
    <w:rsid w:val="00D17490"/>
    <w:rsid w:val="00D20ADA"/>
    <w:rsid w:val="00D2152D"/>
    <w:rsid w:val="00D215BC"/>
    <w:rsid w:val="00D25F28"/>
    <w:rsid w:val="00D30A1F"/>
    <w:rsid w:val="00D323B4"/>
    <w:rsid w:val="00D35D0F"/>
    <w:rsid w:val="00D41B80"/>
    <w:rsid w:val="00D41D4B"/>
    <w:rsid w:val="00D43D59"/>
    <w:rsid w:val="00D47357"/>
    <w:rsid w:val="00D554D6"/>
    <w:rsid w:val="00D55779"/>
    <w:rsid w:val="00D64435"/>
    <w:rsid w:val="00D66C87"/>
    <w:rsid w:val="00D718E5"/>
    <w:rsid w:val="00D832A3"/>
    <w:rsid w:val="00D8405B"/>
    <w:rsid w:val="00D840B5"/>
    <w:rsid w:val="00D91B2F"/>
    <w:rsid w:val="00D920CA"/>
    <w:rsid w:val="00DA21A1"/>
    <w:rsid w:val="00DA720E"/>
    <w:rsid w:val="00DB52E0"/>
    <w:rsid w:val="00DC4252"/>
    <w:rsid w:val="00DC6E8A"/>
    <w:rsid w:val="00DD2B1F"/>
    <w:rsid w:val="00DD5816"/>
    <w:rsid w:val="00DD7971"/>
    <w:rsid w:val="00DE4C1A"/>
    <w:rsid w:val="00DF367C"/>
    <w:rsid w:val="00DF3BA3"/>
    <w:rsid w:val="00DF4DBB"/>
    <w:rsid w:val="00E0011B"/>
    <w:rsid w:val="00E0458D"/>
    <w:rsid w:val="00E107EE"/>
    <w:rsid w:val="00E14B4D"/>
    <w:rsid w:val="00E17023"/>
    <w:rsid w:val="00E242D2"/>
    <w:rsid w:val="00E256E3"/>
    <w:rsid w:val="00E31419"/>
    <w:rsid w:val="00E35043"/>
    <w:rsid w:val="00E45670"/>
    <w:rsid w:val="00E510ED"/>
    <w:rsid w:val="00E51536"/>
    <w:rsid w:val="00E52279"/>
    <w:rsid w:val="00E52CCE"/>
    <w:rsid w:val="00E5361B"/>
    <w:rsid w:val="00E63AAB"/>
    <w:rsid w:val="00E65140"/>
    <w:rsid w:val="00E7424C"/>
    <w:rsid w:val="00E74AB8"/>
    <w:rsid w:val="00E76EE7"/>
    <w:rsid w:val="00E77112"/>
    <w:rsid w:val="00E921A0"/>
    <w:rsid w:val="00E9368E"/>
    <w:rsid w:val="00E94E03"/>
    <w:rsid w:val="00E975BC"/>
    <w:rsid w:val="00E97B16"/>
    <w:rsid w:val="00EA44E4"/>
    <w:rsid w:val="00EA7EC6"/>
    <w:rsid w:val="00EB3F33"/>
    <w:rsid w:val="00EB756D"/>
    <w:rsid w:val="00EC16CE"/>
    <w:rsid w:val="00EC68D2"/>
    <w:rsid w:val="00ED2065"/>
    <w:rsid w:val="00ED2455"/>
    <w:rsid w:val="00EE0344"/>
    <w:rsid w:val="00EE4DDD"/>
    <w:rsid w:val="00EF6A10"/>
    <w:rsid w:val="00F01E76"/>
    <w:rsid w:val="00F10098"/>
    <w:rsid w:val="00F13993"/>
    <w:rsid w:val="00F15DF0"/>
    <w:rsid w:val="00F23AFC"/>
    <w:rsid w:val="00F258AB"/>
    <w:rsid w:val="00F26BB4"/>
    <w:rsid w:val="00F32888"/>
    <w:rsid w:val="00F420DE"/>
    <w:rsid w:val="00F43867"/>
    <w:rsid w:val="00F5179A"/>
    <w:rsid w:val="00F51F41"/>
    <w:rsid w:val="00F53DFE"/>
    <w:rsid w:val="00F55A6E"/>
    <w:rsid w:val="00F64283"/>
    <w:rsid w:val="00F71132"/>
    <w:rsid w:val="00F74F5D"/>
    <w:rsid w:val="00F80340"/>
    <w:rsid w:val="00F837B7"/>
    <w:rsid w:val="00F83F86"/>
    <w:rsid w:val="00F841C8"/>
    <w:rsid w:val="00F84D31"/>
    <w:rsid w:val="00F858B0"/>
    <w:rsid w:val="00F96815"/>
    <w:rsid w:val="00FB259E"/>
    <w:rsid w:val="00FB4420"/>
    <w:rsid w:val="00FC2161"/>
    <w:rsid w:val="00FC4C3D"/>
    <w:rsid w:val="00FD24E9"/>
    <w:rsid w:val="00FE1D55"/>
    <w:rsid w:val="00FF1912"/>
    <w:rsid w:val="07286DBD"/>
    <w:rsid w:val="1AE05159"/>
    <w:rsid w:val="1D4CD73F"/>
    <w:rsid w:val="1F831C0B"/>
    <w:rsid w:val="2A228FAB"/>
    <w:rsid w:val="318CA580"/>
    <w:rsid w:val="3CEFC3F2"/>
    <w:rsid w:val="42F41E82"/>
    <w:rsid w:val="42FAFE4B"/>
    <w:rsid w:val="44E89B1B"/>
    <w:rsid w:val="4D7ECE20"/>
    <w:rsid w:val="5D03A9AC"/>
    <w:rsid w:val="6C8576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F337E9E"/>
  <w15:docId w15:val="{6C01F33F-2F77-47E8-8EF1-C36AD361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Aptos" w:hAnsi="Aptos"/>
      <w:sz w:val="20"/>
    </w:rPr>
  </w:style>
  <w:style w:type="paragraph" w:styleId="Heading2">
    <w:name w:val="heading 2"/>
    <w:basedOn w:val="Normal"/>
    <w:next w:val="Normal"/>
    <w:link w:val="Heading2Char"/>
    <w:uiPriority w:val="9"/>
    <w:semiHidden/>
    <w:unhideWhenUsed/>
    <w:qFormat/>
    <w:rsid w:val="007B0DB4"/>
    <w:pPr>
      <w:keepNext/>
      <w:keepLines/>
      <w:spacing w:before="40" w:after="0"/>
      <w:outlineLvl w:val="1"/>
    </w:pPr>
    <w:rPr>
      <w:rFonts w:asciiTheme="majorHAnsi" w:eastAsiaTheme="majorEastAsia" w:hAnsiTheme="majorHAnsi" w:cstheme="majorBidi"/>
      <w:color w:val="000000"/>
      <w:sz w:val="26"/>
      <w:szCs w:val="26"/>
    </w:rPr>
  </w:style>
  <w:style w:type="paragraph" w:styleId="Heading3">
    <w:name w:val="heading 3"/>
    <w:basedOn w:val="Normal"/>
    <w:next w:val="Normal"/>
    <w:link w:val="Heading3Char"/>
    <w:uiPriority w:val="9"/>
    <w:semiHidden/>
    <w:unhideWhenUsed/>
    <w:qFormat/>
    <w:rsid w:val="00886B10"/>
    <w:pPr>
      <w:keepNext/>
      <w:keepLines/>
      <w:spacing w:before="40" w:after="0"/>
      <w:outlineLvl w:val="2"/>
    </w:pPr>
    <w:rPr>
      <w:rFonts w:asciiTheme="majorHAnsi" w:eastAsiaTheme="majorEastAsia" w:hAnsiTheme="majorHAnsi" w:cstheme="majorBidi"/>
      <w:color w:val="000000"/>
      <w:sz w:val="24"/>
      <w:szCs w:val="24"/>
    </w:rPr>
  </w:style>
  <w:style w:type="paragraph" w:styleId="Heading4">
    <w:name w:val="heading 4"/>
    <w:basedOn w:val="Normal"/>
    <w:next w:val="Normal"/>
    <w:link w:val="Heading4Char"/>
    <w:uiPriority w:val="99"/>
    <w:qFormat/>
    <w:rsid w:val="00036DF0"/>
    <w:pPr>
      <w:keepNext/>
      <w:spacing w:after="0" w:line="240" w:lineRule="auto"/>
      <w:outlineLvl w:val="3"/>
    </w:pPr>
    <w:rPr>
      <w:rFonts w:ascii="Arial" w:eastAsia="Times New Roman" w:hAnsi="Arial" w:cs="Times New Roman"/>
      <w:b/>
      <w:sz w:val="28"/>
      <w:szCs w:val="32"/>
    </w:rPr>
  </w:style>
  <w:style w:type="paragraph" w:styleId="Heading6">
    <w:name w:val="heading 6"/>
    <w:basedOn w:val="Normal"/>
    <w:next w:val="Normal"/>
    <w:link w:val="Heading6Char"/>
    <w:uiPriority w:val="99"/>
    <w:qFormat/>
    <w:rsid w:val="00036DF0"/>
    <w:pPr>
      <w:spacing w:before="240" w:after="60" w:line="240" w:lineRule="auto"/>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036DF0"/>
    <w:rPr>
      <w:rFonts w:ascii="Arial" w:eastAsia="Times New Roman" w:hAnsi="Arial" w:cs="Times New Roman"/>
      <w:b/>
      <w:sz w:val="28"/>
      <w:szCs w:val="32"/>
    </w:rPr>
  </w:style>
  <w:style w:type="character" w:customStyle="1" w:styleId="Heading6Char">
    <w:name w:val="Heading 6 Char"/>
    <w:basedOn w:val="DefaultParagraphFont"/>
    <w:link w:val="Heading6"/>
    <w:uiPriority w:val="99"/>
    <w:rsid w:val="00036DF0"/>
    <w:rPr>
      <w:rFonts w:ascii="Times New Roman" w:eastAsia="Times New Roman" w:hAnsi="Times New Roman" w:cs="Times New Roman"/>
      <w:b/>
      <w:bCs/>
      <w:lang w:val="en-US"/>
    </w:rPr>
  </w:style>
  <w:style w:type="paragraph" w:styleId="BodyTextIndent">
    <w:name w:val="Body Text Indent"/>
    <w:basedOn w:val="Normal"/>
    <w:link w:val="BodyTextIndentChar"/>
    <w:uiPriority w:val="99"/>
    <w:rsid w:val="00036DF0"/>
    <w:pPr>
      <w:spacing w:after="0" w:line="240" w:lineRule="auto"/>
      <w:ind w:left="709" w:firstLine="11"/>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uiPriority w:val="99"/>
    <w:rsid w:val="00036DF0"/>
    <w:rPr>
      <w:rFonts w:ascii="Arial" w:eastAsia="Times New Roman" w:hAnsi="Arial" w:cs="Times New Roman"/>
      <w:sz w:val="24"/>
      <w:szCs w:val="20"/>
      <w:lang w:eastAsia="en-GB"/>
    </w:rPr>
  </w:style>
  <w:style w:type="paragraph" w:styleId="BodyText2">
    <w:name w:val="Body Text 2"/>
    <w:basedOn w:val="Normal"/>
    <w:link w:val="BodyText2Char"/>
    <w:uiPriority w:val="99"/>
    <w:rsid w:val="00036DF0"/>
    <w:pPr>
      <w:spacing w:after="120" w:line="480" w:lineRule="auto"/>
    </w:pPr>
    <w:rPr>
      <w:rFonts w:ascii="Arial" w:eastAsia="Times New Roman" w:hAnsi="Arial" w:cs="Times New Roman"/>
      <w:sz w:val="24"/>
      <w:szCs w:val="24"/>
      <w:lang w:val="en-US"/>
    </w:rPr>
  </w:style>
  <w:style w:type="character" w:customStyle="1" w:styleId="BodyText2Char">
    <w:name w:val="Body Text 2 Char"/>
    <w:basedOn w:val="DefaultParagraphFont"/>
    <w:link w:val="BodyText2"/>
    <w:uiPriority w:val="99"/>
    <w:rsid w:val="00036DF0"/>
    <w:rPr>
      <w:rFonts w:ascii="Arial" w:eastAsia="Times New Roman" w:hAnsi="Arial" w:cs="Times New Roman"/>
      <w:sz w:val="24"/>
      <w:szCs w:val="24"/>
      <w:lang w:val="en-US"/>
    </w:rPr>
  </w:style>
  <w:style w:type="paragraph" w:styleId="FootnoteText">
    <w:name w:val="footnote text"/>
    <w:basedOn w:val="Normal"/>
    <w:link w:val="FootnoteTextChar"/>
    <w:semiHidden/>
    <w:rsid w:val="00036DF0"/>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semiHidden/>
    <w:rsid w:val="00036DF0"/>
    <w:rPr>
      <w:rFonts w:ascii="Times New Roman" w:eastAsia="Times New Roman" w:hAnsi="Times New Roman" w:cs="Times New Roman"/>
      <w:sz w:val="20"/>
      <w:szCs w:val="20"/>
    </w:rPr>
  </w:style>
  <w:style w:type="paragraph" w:styleId="Footer">
    <w:name w:val="footer"/>
    <w:basedOn w:val="Normal"/>
    <w:link w:val="FooterChar"/>
    <w:uiPriority w:val="99"/>
    <w:rsid w:val="00036DF0"/>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36DF0"/>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036DF0"/>
    <w:rPr>
      <w:rFonts w:cs="Times New Roman"/>
    </w:rPr>
  </w:style>
  <w:style w:type="table" w:styleId="TableGrid">
    <w:name w:val="Table Grid"/>
    <w:basedOn w:val="TableNormal"/>
    <w:rsid w:val="00036DF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A5A"/>
    <w:rPr>
      <w:rFonts w:ascii="Tahoma" w:hAnsi="Tahoma" w:cs="Tahoma"/>
      <w:sz w:val="16"/>
      <w:szCs w:val="16"/>
    </w:rPr>
  </w:style>
  <w:style w:type="paragraph" w:styleId="BodyText">
    <w:name w:val="Body Text"/>
    <w:basedOn w:val="Normal"/>
    <w:link w:val="BodyTextChar"/>
    <w:uiPriority w:val="99"/>
    <w:unhideWhenUsed/>
    <w:rsid w:val="00A77A5A"/>
    <w:pPr>
      <w:spacing w:after="120"/>
    </w:pPr>
  </w:style>
  <w:style w:type="character" w:customStyle="1" w:styleId="BodyTextChar">
    <w:name w:val="Body Text Char"/>
    <w:basedOn w:val="DefaultParagraphFont"/>
    <w:link w:val="BodyText"/>
    <w:uiPriority w:val="99"/>
    <w:rsid w:val="00A77A5A"/>
  </w:style>
  <w:style w:type="character" w:styleId="CommentReference">
    <w:name w:val="annotation reference"/>
    <w:basedOn w:val="DefaultParagraphFont"/>
    <w:uiPriority w:val="99"/>
    <w:semiHidden/>
    <w:unhideWhenUsed/>
    <w:rsid w:val="008F402B"/>
    <w:rPr>
      <w:sz w:val="16"/>
      <w:szCs w:val="16"/>
    </w:rPr>
  </w:style>
  <w:style w:type="paragraph" w:styleId="CommentText">
    <w:name w:val="annotation text"/>
    <w:basedOn w:val="Normal"/>
    <w:link w:val="CommentTextChar"/>
    <w:uiPriority w:val="99"/>
    <w:unhideWhenUsed/>
    <w:rsid w:val="008F402B"/>
    <w:pPr>
      <w:spacing w:line="240" w:lineRule="auto"/>
    </w:pPr>
    <w:rPr>
      <w:szCs w:val="20"/>
    </w:rPr>
  </w:style>
  <w:style w:type="character" w:customStyle="1" w:styleId="CommentTextChar">
    <w:name w:val="Comment Text Char"/>
    <w:basedOn w:val="DefaultParagraphFont"/>
    <w:link w:val="CommentText"/>
    <w:uiPriority w:val="99"/>
    <w:rsid w:val="008F402B"/>
    <w:rPr>
      <w:sz w:val="20"/>
      <w:szCs w:val="20"/>
    </w:rPr>
  </w:style>
  <w:style w:type="paragraph" w:styleId="CommentSubject">
    <w:name w:val="annotation subject"/>
    <w:basedOn w:val="CommentText"/>
    <w:next w:val="CommentText"/>
    <w:link w:val="CommentSubjectChar"/>
    <w:uiPriority w:val="99"/>
    <w:semiHidden/>
    <w:unhideWhenUsed/>
    <w:rsid w:val="008F402B"/>
    <w:rPr>
      <w:b/>
      <w:bCs/>
    </w:rPr>
  </w:style>
  <w:style w:type="character" w:customStyle="1" w:styleId="CommentSubjectChar">
    <w:name w:val="Comment Subject Char"/>
    <w:basedOn w:val="CommentTextChar"/>
    <w:link w:val="CommentSubject"/>
    <w:uiPriority w:val="99"/>
    <w:semiHidden/>
    <w:rsid w:val="008F402B"/>
    <w:rPr>
      <w:b/>
      <w:bCs/>
      <w:sz w:val="20"/>
      <w:szCs w:val="20"/>
    </w:rPr>
  </w:style>
  <w:style w:type="paragraph" w:styleId="ListParagraph">
    <w:name w:val="List Paragraph"/>
    <w:basedOn w:val="Normal"/>
    <w:uiPriority w:val="34"/>
    <w:qFormat/>
    <w:rsid w:val="00D920CA"/>
    <w:pPr>
      <w:ind w:left="720"/>
      <w:contextualSpacing/>
    </w:pPr>
  </w:style>
  <w:style w:type="paragraph" w:styleId="Header">
    <w:name w:val="header"/>
    <w:basedOn w:val="Normal"/>
    <w:link w:val="HeaderChar"/>
    <w:uiPriority w:val="99"/>
    <w:unhideWhenUsed/>
    <w:rsid w:val="00C824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48F"/>
  </w:style>
  <w:style w:type="paragraph" w:styleId="NoSpacing">
    <w:name w:val="No Spacing"/>
    <w:uiPriority w:val="1"/>
    <w:qFormat/>
    <w:rsid w:val="007F6BDE"/>
    <w:pPr>
      <w:spacing w:after="0" w:line="240" w:lineRule="auto"/>
    </w:pPr>
  </w:style>
  <w:style w:type="paragraph" w:styleId="ListBullet">
    <w:name w:val="List Bullet"/>
    <w:basedOn w:val="BodyText"/>
    <w:autoRedefine/>
    <w:rsid w:val="00D04A5D"/>
    <w:pPr>
      <w:numPr>
        <w:numId w:val="1"/>
      </w:numPr>
      <w:tabs>
        <w:tab w:val="clear" w:pos="1800"/>
        <w:tab w:val="num" w:pos="360"/>
      </w:tabs>
      <w:spacing w:after="0" w:line="20" w:lineRule="atLeast"/>
      <w:ind w:left="0" w:firstLine="0"/>
    </w:pPr>
    <w:rPr>
      <w:rFonts w:ascii="Arial" w:eastAsia="Times New Roman" w:hAnsi="Arial" w:cs="Arial"/>
      <w:bCs/>
      <w:kern w:val="24"/>
      <w:szCs w:val="20"/>
    </w:rPr>
  </w:style>
  <w:style w:type="paragraph" w:customStyle="1" w:styleId="Default">
    <w:name w:val="Default"/>
    <w:rsid w:val="005B5477"/>
    <w:pPr>
      <w:autoSpaceDE w:val="0"/>
      <w:autoSpaceDN w:val="0"/>
      <w:adjustRightInd w:val="0"/>
      <w:spacing w:after="0" w:line="240" w:lineRule="auto"/>
    </w:pPr>
    <w:rPr>
      <w:rFonts w:ascii="Symbol" w:eastAsia="Times New Roman" w:hAnsi="Symbol" w:cs="Symbol"/>
      <w:color w:val="000000"/>
      <w:sz w:val="24"/>
      <w:szCs w:val="24"/>
      <w:lang w:eastAsia="en-GB"/>
    </w:rPr>
  </w:style>
  <w:style w:type="character" w:customStyle="1" w:styleId="Heading2Char">
    <w:name w:val="Heading 2 Char"/>
    <w:basedOn w:val="DefaultParagraphFont"/>
    <w:link w:val="Heading2"/>
    <w:uiPriority w:val="9"/>
    <w:semiHidden/>
    <w:rsid w:val="007B0DB4"/>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7443F5"/>
    <w:pPr>
      <w:spacing w:after="0" w:line="240" w:lineRule="auto"/>
    </w:pPr>
  </w:style>
  <w:style w:type="character" w:styleId="Mention">
    <w:name w:val="Mention"/>
    <w:basedOn w:val="DefaultParagraphFont"/>
    <w:uiPriority w:val="99"/>
    <w:unhideWhenUsed/>
    <w:rsid w:val="003B6164"/>
    <w:rPr>
      <w:color w:val="2B579A"/>
      <w:shd w:val="clear" w:color="auto" w:fill="E1DFDD"/>
    </w:rPr>
  </w:style>
  <w:style w:type="character" w:customStyle="1" w:styleId="Heading3Char">
    <w:name w:val="Heading 3 Char"/>
    <w:basedOn w:val="DefaultParagraphFont"/>
    <w:link w:val="Heading3"/>
    <w:uiPriority w:val="9"/>
    <w:semiHidden/>
    <w:rsid w:val="00886B1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5CB89C-3D91-4958-B514-83C16027CA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3D8A36B-36A2-4D42-A048-CE531FC080EB}">
      <dgm:prSet phldrT="[Text]" custT="1"/>
      <dgm:spPr/>
      <dgm:t>
        <a:bodyPr/>
        <a:lstStyle/>
        <a:p>
          <a:pPr>
            <a:buNone/>
          </a:pPr>
          <a:r>
            <a:rPr lang="en-GB" sz="800"/>
            <a:t>IT Director of Infrastructure and Operations</a:t>
          </a:r>
        </a:p>
      </dgm:t>
    </dgm:pt>
    <dgm:pt modelId="{09907659-706D-4E20-8E81-D7E631B50486}" type="parTrans" cxnId="{70C9B991-602E-44A6-9FAB-CAA979CAC6C4}">
      <dgm:prSet/>
      <dgm:spPr/>
      <dgm:t>
        <a:bodyPr/>
        <a:lstStyle/>
        <a:p>
          <a:endParaRPr lang="en-GB" sz="800"/>
        </a:p>
      </dgm:t>
    </dgm:pt>
    <dgm:pt modelId="{143945A6-7A16-4437-88CD-10E8486589B6}" type="sibTrans" cxnId="{70C9B991-602E-44A6-9FAB-CAA979CAC6C4}">
      <dgm:prSet/>
      <dgm:spPr/>
      <dgm:t>
        <a:bodyPr/>
        <a:lstStyle/>
        <a:p>
          <a:endParaRPr lang="en-GB" sz="800"/>
        </a:p>
      </dgm:t>
    </dgm:pt>
    <dgm:pt modelId="{C9D2CB01-C630-4C51-B6B9-56B9B8C32B5E}">
      <dgm:prSet phldrT="[Text]" custT="1"/>
      <dgm:spPr/>
      <dgm:t>
        <a:bodyPr/>
        <a:lstStyle/>
        <a:p>
          <a:r>
            <a:rPr lang="en-GB" sz="800"/>
            <a:t>Head of IT Service Delivery</a:t>
          </a:r>
        </a:p>
      </dgm:t>
    </dgm:pt>
    <dgm:pt modelId="{149ED4EC-B218-4233-8D66-0E6253526F49}" type="parTrans" cxnId="{091095CE-CC7E-4376-AB4F-034E322605AF}">
      <dgm:prSet/>
      <dgm:spPr/>
      <dgm:t>
        <a:bodyPr/>
        <a:lstStyle/>
        <a:p>
          <a:endParaRPr lang="en-GB" sz="800"/>
        </a:p>
      </dgm:t>
    </dgm:pt>
    <dgm:pt modelId="{7B35AD47-FEEE-462A-B33C-84ABC66CEA02}" type="sibTrans" cxnId="{091095CE-CC7E-4376-AB4F-034E322605AF}">
      <dgm:prSet/>
      <dgm:spPr/>
      <dgm:t>
        <a:bodyPr/>
        <a:lstStyle/>
        <a:p>
          <a:endParaRPr lang="en-GB" sz="800"/>
        </a:p>
      </dgm:t>
    </dgm:pt>
    <dgm:pt modelId="{8A6C3510-C00A-4E93-8C6D-A757B377E9A6}">
      <dgm:prSet phldrT="[Text]" custT="1"/>
      <dgm:spPr/>
      <dgm:t>
        <a:bodyPr/>
        <a:lstStyle/>
        <a:p>
          <a:r>
            <a:rPr lang="en-GB" sz="800"/>
            <a:t>IT Asset Manager</a:t>
          </a:r>
        </a:p>
      </dgm:t>
    </dgm:pt>
    <dgm:pt modelId="{5FBF396B-E89F-44F7-B388-C11D0F50E2E7}" type="parTrans" cxnId="{CE2E284B-E789-45F6-BC4C-0B769E00C6E7}">
      <dgm:prSet/>
      <dgm:spPr/>
      <dgm:t>
        <a:bodyPr/>
        <a:lstStyle/>
        <a:p>
          <a:endParaRPr lang="en-GB" sz="800"/>
        </a:p>
      </dgm:t>
    </dgm:pt>
    <dgm:pt modelId="{14065A1D-4E4A-478C-9C78-4BEC444F3B3D}" type="sibTrans" cxnId="{CE2E284B-E789-45F6-BC4C-0B769E00C6E7}">
      <dgm:prSet/>
      <dgm:spPr/>
      <dgm:t>
        <a:bodyPr/>
        <a:lstStyle/>
        <a:p>
          <a:endParaRPr lang="en-GB" sz="800"/>
        </a:p>
      </dgm:t>
    </dgm:pt>
    <dgm:pt modelId="{E92E5229-5681-4DDC-825F-BCC60E79B1C1}" type="pres">
      <dgm:prSet presAssocID="{9A5CB89C-3D91-4958-B514-83C16027CA0F}" presName="hierChild1" presStyleCnt="0">
        <dgm:presLayoutVars>
          <dgm:orgChart val="1"/>
          <dgm:chPref val="1"/>
          <dgm:dir/>
          <dgm:animOne val="branch"/>
          <dgm:animLvl val="lvl"/>
          <dgm:resizeHandles/>
        </dgm:presLayoutVars>
      </dgm:prSet>
      <dgm:spPr/>
    </dgm:pt>
    <dgm:pt modelId="{45932D5F-80DF-48B3-A86F-2774909E03BE}" type="pres">
      <dgm:prSet presAssocID="{B3D8A36B-36A2-4D42-A048-CE531FC080EB}" presName="hierRoot1" presStyleCnt="0">
        <dgm:presLayoutVars>
          <dgm:hierBranch val="init"/>
        </dgm:presLayoutVars>
      </dgm:prSet>
      <dgm:spPr/>
    </dgm:pt>
    <dgm:pt modelId="{29D028F7-6D2D-4EF9-915A-8C7AA5EF0C04}" type="pres">
      <dgm:prSet presAssocID="{B3D8A36B-36A2-4D42-A048-CE531FC080EB}" presName="rootComposite1" presStyleCnt="0"/>
      <dgm:spPr/>
    </dgm:pt>
    <dgm:pt modelId="{40D65C42-3D8D-480C-8466-2BB73036110F}" type="pres">
      <dgm:prSet presAssocID="{B3D8A36B-36A2-4D42-A048-CE531FC080EB}" presName="rootText1" presStyleLbl="node0" presStyleIdx="0" presStyleCnt="1">
        <dgm:presLayoutVars>
          <dgm:chPref val="3"/>
        </dgm:presLayoutVars>
      </dgm:prSet>
      <dgm:spPr/>
    </dgm:pt>
    <dgm:pt modelId="{F42893F0-EBA9-42F1-978A-9D4B1CBD2979}" type="pres">
      <dgm:prSet presAssocID="{B3D8A36B-36A2-4D42-A048-CE531FC080EB}" presName="rootConnector1" presStyleLbl="node1" presStyleIdx="0" presStyleCnt="0"/>
      <dgm:spPr/>
    </dgm:pt>
    <dgm:pt modelId="{C5F3C193-E58E-4AD4-ACF0-750862EDDBBC}" type="pres">
      <dgm:prSet presAssocID="{B3D8A36B-36A2-4D42-A048-CE531FC080EB}" presName="hierChild2" presStyleCnt="0"/>
      <dgm:spPr/>
    </dgm:pt>
    <dgm:pt modelId="{326D7E6B-4F3D-474C-8E79-E5A5FA918B39}" type="pres">
      <dgm:prSet presAssocID="{149ED4EC-B218-4233-8D66-0E6253526F49}" presName="Name37" presStyleLbl="parChTrans1D2" presStyleIdx="0" presStyleCnt="1"/>
      <dgm:spPr/>
    </dgm:pt>
    <dgm:pt modelId="{D0B9A1F7-1CC0-4FD4-9DAB-4293769FD4DE}" type="pres">
      <dgm:prSet presAssocID="{C9D2CB01-C630-4C51-B6B9-56B9B8C32B5E}" presName="hierRoot2" presStyleCnt="0">
        <dgm:presLayoutVars>
          <dgm:hierBranch val="init"/>
        </dgm:presLayoutVars>
      </dgm:prSet>
      <dgm:spPr/>
    </dgm:pt>
    <dgm:pt modelId="{7CFCCB4A-B8B6-4F5D-8E1C-C5D5DC8D365B}" type="pres">
      <dgm:prSet presAssocID="{C9D2CB01-C630-4C51-B6B9-56B9B8C32B5E}" presName="rootComposite" presStyleCnt="0"/>
      <dgm:spPr/>
    </dgm:pt>
    <dgm:pt modelId="{ECC6466B-DF42-4C0B-A151-1D4790459B1D}" type="pres">
      <dgm:prSet presAssocID="{C9D2CB01-C630-4C51-B6B9-56B9B8C32B5E}" presName="rootText" presStyleLbl="node2" presStyleIdx="0" presStyleCnt="1">
        <dgm:presLayoutVars>
          <dgm:chPref val="3"/>
        </dgm:presLayoutVars>
      </dgm:prSet>
      <dgm:spPr/>
    </dgm:pt>
    <dgm:pt modelId="{318FAFC1-B10D-4A78-B3F7-37D306661A3C}" type="pres">
      <dgm:prSet presAssocID="{C9D2CB01-C630-4C51-B6B9-56B9B8C32B5E}" presName="rootConnector" presStyleLbl="node2" presStyleIdx="0" presStyleCnt="1"/>
      <dgm:spPr/>
    </dgm:pt>
    <dgm:pt modelId="{032EE182-A941-4FBE-90AF-C7FDDEBFFFB2}" type="pres">
      <dgm:prSet presAssocID="{C9D2CB01-C630-4C51-B6B9-56B9B8C32B5E}" presName="hierChild4" presStyleCnt="0"/>
      <dgm:spPr/>
    </dgm:pt>
    <dgm:pt modelId="{CF308535-2E7E-4346-A95D-2974BB24FEE0}" type="pres">
      <dgm:prSet presAssocID="{5FBF396B-E89F-44F7-B388-C11D0F50E2E7}" presName="Name37" presStyleLbl="parChTrans1D3" presStyleIdx="0" presStyleCnt="1"/>
      <dgm:spPr/>
    </dgm:pt>
    <dgm:pt modelId="{C7651803-373A-4931-A1D8-76D5D83F6514}" type="pres">
      <dgm:prSet presAssocID="{8A6C3510-C00A-4E93-8C6D-A757B377E9A6}" presName="hierRoot2" presStyleCnt="0">
        <dgm:presLayoutVars>
          <dgm:hierBranch val="init"/>
        </dgm:presLayoutVars>
      </dgm:prSet>
      <dgm:spPr/>
    </dgm:pt>
    <dgm:pt modelId="{7FECE0A6-C4A7-4559-B5F2-7B8ABA730BF0}" type="pres">
      <dgm:prSet presAssocID="{8A6C3510-C00A-4E93-8C6D-A757B377E9A6}" presName="rootComposite" presStyleCnt="0"/>
      <dgm:spPr/>
    </dgm:pt>
    <dgm:pt modelId="{379C4465-DC7E-4353-BB73-BDBB9F0B76D3}" type="pres">
      <dgm:prSet presAssocID="{8A6C3510-C00A-4E93-8C6D-A757B377E9A6}" presName="rootText" presStyleLbl="node3" presStyleIdx="0" presStyleCnt="1">
        <dgm:presLayoutVars>
          <dgm:chPref val="3"/>
        </dgm:presLayoutVars>
      </dgm:prSet>
      <dgm:spPr/>
    </dgm:pt>
    <dgm:pt modelId="{31EF6B61-C3B1-4222-917E-F666625B296A}" type="pres">
      <dgm:prSet presAssocID="{8A6C3510-C00A-4E93-8C6D-A757B377E9A6}" presName="rootConnector" presStyleLbl="node3" presStyleIdx="0" presStyleCnt="1"/>
      <dgm:spPr/>
    </dgm:pt>
    <dgm:pt modelId="{C03FC55D-5CB8-441C-A37E-33522062F3BB}" type="pres">
      <dgm:prSet presAssocID="{8A6C3510-C00A-4E93-8C6D-A757B377E9A6}" presName="hierChild4" presStyleCnt="0"/>
      <dgm:spPr/>
    </dgm:pt>
    <dgm:pt modelId="{80631B20-0856-422C-9129-E28E7082B5B4}" type="pres">
      <dgm:prSet presAssocID="{8A6C3510-C00A-4E93-8C6D-A757B377E9A6}" presName="hierChild5" presStyleCnt="0"/>
      <dgm:spPr/>
    </dgm:pt>
    <dgm:pt modelId="{1FB217C9-85BA-43D3-B122-EBAC97DBF4CC}" type="pres">
      <dgm:prSet presAssocID="{C9D2CB01-C630-4C51-B6B9-56B9B8C32B5E}" presName="hierChild5" presStyleCnt="0"/>
      <dgm:spPr/>
    </dgm:pt>
    <dgm:pt modelId="{C86B8C32-5C3B-4B9C-97E1-E8CB8595D5C7}" type="pres">
      <dgm:prSet presAssocID="{B3D8A36B-36A2-4D42-A048-CE531FC080EB}" presName="hierChild3" presStyleCnt="0"/>
      <dgm:spPr/>
    </dgm:pt>
  </dgm:ptLst>
  <dgm:cxnLst>
    <dgm:cxn modelId="{5EE2900A-444F-47E2-8313-862EA2A21A21}" type="presOf" srcId="{5FBF396B-E89F-44F7-B388-C11D0F50E2E7}" destId="{CF308535-2E7E-4346-A95D-2974BB24FEE0}" srcOrd="0" destOrd="0" presId="urn:microsoft.com/office/officeart/2005/8/layout/orgChart1"/>
    <dgm:cxn modelId="{E8A02C13-E7B6-4880-8FC0-45D6AB077ABC}" type="presOf" srcId="{149ED4EC-B218-4233-8D66-0E6253526F49}" destId="{326D7E6B-4F3D-474C-8E79-E5A5FA918B39}" srcOrd="0" destOrd="0" presId="urn:microsoft.com/office/officeart/2005/8/layout/orgChart1"/>
    <dgm:cxn modelId="{387E551C-C1FB-4C99-8177-289155092B25}" type="presOf" srcId="{9A5CB89C-3D91-4958-B514-83C16027CA0F}" destId="{E92E5229-5681-4DDC-825F-BCC60E79B1C1}" srcOrd="0" destOrd="0" presId="urn:microsoft.com/office/officeart/2005/8/layout/orgChart1"/>
    <dgm:cxn modelId="{DB193E2F-46C9-4393-A5F9-09B110B48B56}" type="presOf" srcId="{C9D2CB01-C630-4C51-B6B9-56B9B8C32B5E}" destId="{ECC6466B-DF42-4C0B-A151-1D4790459B1D}" srcOrd="0" destOrd="0" presId="urn:microsoft.com/office/officeart/2005/8/layout/orgChart1"/>
    <dgm:cxn modelId="{CC5D995E-F26B-4E36-9985-EE26AA577E12}" type="presOf" srcId="{B3D8A36B-36A2-4D42-A048-CE531FC080EB}" destId="{40D65C42-3D8D-480C-8466-2BB73036110F}" srcOrd="0" destOrd="0" presId="urn:microsoft.com/office/officeart/2005/8/layout/orgChart1"/>
    <dgm:cxn modelId="{10B4BB64-9FBD-43AF-9400-444E73F0FE4A}" type="presOf" srcId="{B3D8A36B-36A2-4D42-A048-CE531FC080EB}" destId="{F42893F0-EBA9-42F1-978A-9D4B1CBD2979}" srcOrd="1" destOrd="0" presId="urn:microsoft.com/office/officeart/2005/8/layout/orgChart1"/>
    <dgm:cxn modelId="{CE2E284B-E789-45F6-BC4C-0B769E00C6E7}" srcId="{C9D2CB01-C630-4C51-B6B9-56B9B8C32B5E}" destId="{8A6C3510-C00A-4E93-8C6D-A757B377E9A6}" srcOrd="0" destOrd="0" parTransId="{5FBF396B-E89F-44F7-B388-C11D0F50E2E7}" sibTransId="{14065A1D-4E4A-478C-9C78-4BEC444F3B3D}"/>
    <dgm:cxn modelId="{20570B8C-C310-40B7-A45E-AA0039144D71}" type="presOf" srcId="{8A6C3510-C00A-4E93-8C6D-A757B377E9A6}" destId="{31EF6B61-C3B1-4222-917E-F666625B296A}" srcOrd="1" destOrd="0" presId="urn:microsoft.com/office/officeart/2005/8/layout/orgChart1"/>
    <dgm:cxn modelId="{70C9B991-602E-44A6-9FAB-CAA979CAC6C4}" srcId="{9A5CB89C-3D91-4958-B514-83C16027CA0F}" destId="{B3D8A36B-36A2-4D42-A048-CE531FC080EB}" srcOrd="0" destOrd="0" parTransId="{09907659-706D-4E20-8E81-D7E631B50486}" sibTransId="{143945A6-7A16-4437-88CD-10E8486589B6}"/>
    <dgm:cxn modelId="{E16A4E92-921B-48EA-99D9-A69368863A99}" type="presOf" srcId="{C9D2CB01-C630-4C51-B6B9-56B9B8C32B5E}" destId="{318FAFC1-B10D-4A78-B3F7-37D306661A3C}" srcOrd="1" destOrd="0" presId="urn:microsoft.com/office/officeart/2005/8/layout/orgChart1"/>
    <dgm:cxn modelId="{98C6E4B3-986C-4DFB-A0FE-DFFE6DA3D79E}" type="presOf" srcId="{8A6C3510-C00A-4E93-8C6D-A757B377E9A6}" destId="{379C4465-DC7E-4353-BB73-BDBB9F0B76D3}" srcOrd="0" destOrd="0" presId="urn:microsoft.com/office/officeart/2005/8/layout/orgChart1"/>
    <dgm:cxn modelId="{091095CE-CC7E-4376-AB4F-034E322605AF}" srcId="{B3D8A36B-36A2-4D42-A048-CE531FC080EB}" destId="{C9D2CB01-C630-4C51-B6B9-56B9B8C32B5E}" srcOrd="0" destOrd="0" parTransId="{149ED4EC-B218-4233-8D66-0E6253526F49}" sibTransId="{7B35AD47-FEEE-462A-B33C-84ABC66CEA02}"/>
    <dgm:cxn modelId="{09B2F951-D5E4-4433-9100-46ECCD5A1C29}" type="presParOf" srcId="{E92E5229-5681-4DDC-825F-BCC60E79B1C1}" destId="{45932D5F-80DF-48B3-A86F-2774909E03BE}" srcOrd="0" destOrd="0" presId="urn:microsoft.com/office/officeart/2005/8/layout/orgChart1"/>
    <dgm:cxn modelId="{5ECBF8B0-0F0C-4FB1-9EB5-09D090489EB5}" type="presParOf" srcId="{45932D5F-80DF-48B3-A86F-2774909E03BE}" destId="{29D028F7-6D2D-4EF9-915A-8C7AA5EF0C04}" srcOrd="0" destOrd="0" presId="urn:microsoft.com/office/officeart/2005/8/layout/orgChart1"/>
    <dgm:cxn modelId="{7D119C25-0676-4040-BDBC-0EFDECE0DFCF}" type="presParOf" srcId="{29D028F7-6D2D-4EF9-915A-8C7AA5EF0C04}" destId="{40D65C42-3D8D-480C-8466-2BB73036110F}" srcOrd="0" destOrd="0" presId="urn:microsoft.com/office/officeart/2005/8/layout/orgChart1"/>
    <dgm:cxn modelId="{7DA39930-2525-41E6-91EE-F27A61946E91}" type="presParOf" srcId="{29D028F7-6D2D-4EF9-915A-8C7AA5EF0C04}" destId="{F42893F0-EBA9-42F1-978A-9D4B1CBD2979}" srcOrd="1" destOrd="0" presId="urn:microsoft.com/office/officeart/2005/8/layout/orgChart1"/>
    <dgm:cxn modelId="{FF3BE442-19AD-4B8D-9241-34AD587F0D3B}" type="presParOf" srcId="{45932D5F-80DF-48B3-A86F-2774909E03BE}" destId="{C5F3C193-E58E-4AD4-ACF0-750862EDDBBC}" srcOrd="1" destOrd="0" presId="urn:microsoft.com/office/officeart/2005/8/layout/orgChart1"/>
    <dgm:cxn modelId="{8AB79CB9-E48D-4C17-9175-95708D888274}" type="presParOf" srcId="{C5F3C193-E58E-4AD4-ACF0-750862EDDBBC}" destId="{326D7E6B-4F3D-474C-8E79-E5A5FA918B39}" srcOrd="0" destOrd="0" presId="urn:microsoft.com/office/officeart/2005/8/layout/orgChart1"/>
    <dgm:cxn modelId="{7E477566-310D-4C46-8362-983E43E56838}" type="presParOf" srcId="{C5F3C193-E58E-4AD4-ACF0-750862EDDBBC}" destId="{D0B9A1F7-1CC0-4FD4-9DAB-4293769FD4DE}" srcOrd="1" destOrd="0" presId="urn:microsoft.com/office/officeart/2005/8/layout/orgChart1"/>
    <dgm:cxn modelId="{1289C565-61D6-40BB-8708-540597DFBE5E}" type="presParOf" srcId="{D0B9A1F7-1CC0-4FD4-9DAB-4293769FD4DE}" destId="{7CFCCB4A-B8B6-4F5D-8E1C-C5D5DC8D365B}" srcOrd="0" destOrd="0" presId="urn:microsoft.com/office/officeart/2005/8/layout/orgChart1"/>
    <dgm:cxn modelId="{5B5888B9-B266-4569-BC24-62594D036E8B}" type="presParOf" srcId="{7CFCCB4A-B8B6-4F5D-8E1C-C5D5DC8D365B}" destId="{ECC6466B-DF42-4C0B-A151-1D4790459B1D}" srcOrd="0" destOrd="0" presId="urn:microsoft.com/office/officeart/2005/8/layout/orgChart1"/>
    <dgm:cxn modelId="{0B266AD2-4C6D-4B21-9645-844451421589}" type="presParOf" srcId="{7CFCCB4A-B8B6-4F5D-8E1C-C5D5DC8D365B}" destId="{318FAFC1-B10D-4A78-B3F7-37D306661A3C}" srcOrd="1" destOrd="0" presId="urn:microsoft.com/office/officeart/2005/8/layout/orgChart1"/>
    <dgm:cxn modelId="{5A494099-45BE-42C5-9872-571C433B86A7}" type="presParOf" srcId="{D0B9A1F7-1CC0-4FD4-9DAB-4293769FD4DE}" destId="{032EE182-A941-4FBE-90AF-C7FDDEBFFFB2}" srcOrd="1" destOrd="0" presId="urn:microsoft.com/office/officeart/2005/8/layout/orgChart1"/>
    <dgm:cxn modelId="{55DF91C5-39B5-473F-AA35-4A7BDAF0A92A}" type="presParOf" srcId="{032EE182-A941-4FBE-90AF-C7FDDEBFFFB2}" destId="{CF308535-2E7E-4346-A95D-2974BB24FEE0}" srcOrd="0" destOrd="0" presId="urn:microsoft.com/office/officeart/2005/8/layout/orgChart1"/>
    <dgm:cxn modelId="{C625E84C-C4C4-4F3B-A71D-DEE8DEBC38B9}" type="presParOf" srcId="{032EE182-A941-4FBE-90AF-C7FDDEBFFFB2}" destId="{C7651803-373A-4931-A1D8-76D5D83F6514}" srcOrd="1" destOrd="0" presId="urn:microsoft.com/office/officeart/2005/8/layout/orgChart1"/>
    <dgm:cxn modelId="{3FD353DC-1D9B-47A0-B2BB-F88BA055BA28}" type="presParOf" srcId="{C7651803-373A-4931-A1D8-76D5D83F6514}" destId="{7FECE0A6-C4A7-4559-B5F2-7B8ABA730BF0}" srcOrd="0" destOrd="0" presId="urn:microsoft.com/office/officeart/2005/8/layout/orgChart1"/>
    <dgm:cxn modelId="{96D698F1-6C32-44C4-9802-35B5132648AF}" type="presParOf" srcId="{7FECE0A6-C4A7-4559-B5F2-7B8ABA730BF0}" destId="{379C4465-DC7E-4353-BB73-BDBB9F0B76D3}" srcOrd="0" destOrd="0" presId="urn:microsoft.com/office/officeart/2005/8/layout/orgChart1"/>
    <dgm:cxn modelId="{D45A40FE-29AA-43C0-8AE2-2212ED9D62ED}" type="presParOf" srcId="{7FECE0A6-C4A7-4559-B5F2-7B8ABA730BF0}" destId="{31EF6B61-C3B1-4222-917E-F666625B296A}" srcOrd="1" destOrd="0" presId="urn:microsoft.com/office/officeart/2005/8/layout/orgChart1"/>
    <dgm:cxn modelId="{510C9344-0673-4A84-83AB-3A8AC8FB77E7}" type="presParOf" srcId="{C7651803-373A-4931-A1D8-76D5D83F6514}" destId="{C03FC55D-5CB8-441C-A37E-33522062F3BB}" srcOrd="1" destOrd="0" presId="urn:microsoft.com/office/officeart/2005/8/layout/orgChart1"/>
    <dgm:cxn modelId="{58DA5FBA-E2F9-417C-81C2-54D60E809239}" type="presParOf" srcId="{C7651803-373A-4931-A1D8-76D5D83F6514}" destId="{80631B20-0856-422C-9129-E28E7082B5B4}" srcOrd="2" destOrd="0" presId="urn:microsoft.com/office/officeart/2005/8/layout/orgChart1"/>
    <dgm:cxn modelId="{41F0330E-AA77-4407-8255-7D13381FC2F0}" type="presParOf" srcId="{D0B9A1F7-1CC0-4FD4-9DAB-4293769FD4DE}" destId="{1FB217C9-85BA-43D3-B122-EBAC97DBF4CC}" srcOrd="2" destOrd="0" presId="urn:microsoft.com/office/officeart/2005/8/layout/orgChart1"/>
    <dgm:cxn modelId="{31096859-705C-4DEB-BDC3-739212C3C2C9}" type="presParOf" srcId="{45932D5F-80DF-48B3-A86F-2774909E03BE}" destId="{C86B8C32-5C3B-4B9C-97E1-E8CB8595D5C7}"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308535-2E7E-4346-A95D-2974BB24FEE0}">
      <dsp:nvSpPr>
        <dsp:cNvPr id="0" name=""/>
        <dsp:cNvSpPr/>
      </dsp:nvSpPr>
      <dsp:spPr>
        <a:xfrm>
          <a:off x="1686146" y="1137275"/>
          <a:ext cx="140850" cy="431940"/>
        </a:xfrm>
        <a:custGeom>
          <a:avLst/>
          <a:gdLst/>
          <a:ahLst/>
          <a:cxnLst/>
          <a:rect l="0" t="0" r="0" b="0"/>
          <a:pathLst>
            <a:path>
              <a:moveTo>
                <a:pt x="0" y="0"/>
              </a:moveTo>
              <a:lnTo>
                <a:pt x="0" y="431940"/>
              </a:lnTo>
              <a:lnTo>
                <a:pt x="140850" y="431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6D7E6B-4F3D-474C-8E79-E5A5FA918B39}">
      <dsp:nvSpPr>
        <dsp:cNvPr id="0" name=""/>
        <dsp:cNvSpPr/>
      </dsp:nvSpPr>
      <dsp:spPr>
        <a:xfrm>
          <a:off x="2016026" y="470584"/>
          <a:ext cx="91440" cy="197190"/>
        </a:xfrm>
        <a:custGeom>
          <a:avLst/>
          <a:gdLst/>
          <a:ahLst/>
          <a:cxnLst/>
          <a:rect l="0" t="0" r="0" b="0"/>
          <a:pathLst>
            <a:path>
              <a:moveTo>
                <a:pt x="45720" y="0"/>
              </a:moveTo>
              <a:lnTo>
                <a:pt x="45720" y="1971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65C42-3D8D-480C-8466-2BB73036110F}">
      <dsp:nvSpPr>
        <dsp:cNvPr id="0" name=""/>
        <dsp:cNvSpPr/>
      </dsp:nvSpPr>
      <dsp:spPr>
        <a:xfrm>
          <a:off x="1592246" y="1083"/>
          <a:ext cx="939001" cy="4695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IT Director of Infrastructure and Operations</a:t>
          </a:r>
        </a:p>
      </dsp:txBody>
      <dsp:txXfrm>
        <a:off x="1592246" y="1083"/>
        <a:ext cx="939001" cy="469500"/>
      </dsp:txXfrm>
    </dsp:sp>
    <dsp:sp modelId="{ECC6466B-DF42-4C0B-A151-1D4790459B1D}">
      <dsp:nvSpPr>
        <dsp:cNvPr id="0" name=""/>
        <dsp:cNvSpPr/>
      </dsp:nvSpPr>
      <dsp:spPr>
        <a:xfrm>
          <a:off x="1592246" y="667774"/>
          <a:ext cx="939001" cy="4695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IT Service Delivery</a:t>
          </a:r>
        </a:p>
      </dsp:txBody>
      <dsp:txXfrm>
        <a:off x="1592246" y="667774"/>
        <a:ext cx="939001" cy="469500"/>
      </dsp:txXfrm>
    </dsp:sp>
    <dsp:sp modelId="{379C4465-DC7E-4353-BB73-BDBB9F0B76D3}">
      <dsp:nvSpPr>
        <dsp:cNvPr id="0" name=""/>
        <dsp:cNvSpPr/>
      </dsp:nvSpPr>
      <dsp:spPr>
        <a:xfrm>
          <a:off x="1826996" y="1334465"/>
          <a:ext cx="939001" cy="4695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IT Asset Manager</a:t>
          </a:r>
        </a:p>
      </dsp:txBody>
      <dsp:txXfrm>
        <a:off x="1826996" y="1334465"/>
        <a:ext cx="939001" cy="4695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C71815E4ABF54FB5AA27CFBDFC73A7" ma:contentTypeVersion="12" ma:contentTypeDescription="Create a new document." ma:contentTypeScope="" ma:versionID="67058fd5c1eab3474811c8d0d69aaa81">
  <xsd:schema xmlns:xsd="http://www.w3.org/2001/XMLSchema" xmlns:xs="http://www.w3.org/2001/XMLSchema" xmlns:p="http://schemas.microsoft.com/office/2006/metadata/properties" xmlns:ns1="http://schemas.microsoft.com/sharepoint/v3" xmlns:ns2="9f54d592-fb88-4430-a441-17b760fe14cb" xmlns:ns3="9400876e-ab47-4e78-982a-0e7fd265c6b2" targetNamespace="http://schemas.microsoft.com/office/2006/metadata/properties" ma:root="true" ma:fieldsID="b8842303df37f57a3788322ab56d3aec" ns1:_="" ns2:_="" ns3:_="">
    <xsd:import namespace="http://schemas.microsoft.com/sharepoint/v3"/>
    <xsd:import namespace="9f54d592-fb88-4430-a441-17b760fe14cb"/>
    <xsd:import namespace="9400876e-ab47-4e78-982a-0e7fd265c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54d592-fb88-4430-a441-17b760fe1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69f5cc-ec17-49d1-b69c-c80f32027dd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00876e-ab47-4e78-982a-0e7fd265c6b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404c2c6-93bf-427c-8092-58f12d84fb44}" ma:internalName="TaxCatchAll" ma:showField="CatchAllData" ma:web="9400876e-ab47-4e78-982a-0e7fd265c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f54d592-fb88-4430-a441-17b760fe14cb">
      <Terms xmlns="http://schemas.microsoft.com/office/infopath/2007/PartnerControls"/>
    </lcf76f155ced4ddcb4097134ff3c332f>
    <TaxCatchAll xmlns="9400876e-ab47-4e78-982a-0e7fd265c6b2" xsi:nil="true"/>
  </documentManagement>
</p:properties>
</file>

<file path=customXml/itemProps1.xml><?xml version="1.0" encoding="utf-8"?>
<ds:datastoreItem xmlns:ds="http://schemas.openxmlformats.org/officeDocument/2006/customXml" ds:itemID="{60852A0B-4723-4430-B551-70A95EC03EC1}">
  <ds:schemaRefs>
    <ds:schemaRef ds:uri="http://schemas.microsoft.com/sharepoint/v3/contenttype/forms"/>
  </ds:schemaRefs>
</ds:datastoreItem>
</file>

<file path=customXml/itemProps2.xml><?xml version="1.0" encoding="utf-8"?>
<ds:datastoreItem xmlns:ds="http://schemas.openxmlformats.org/officeDocument/2006/customXml" ds:itemID="{92A5DBD9-4716-4A4E-8C74-96D5C87AE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54d592-fb88-4430-a441-17b760fe14cb"/>
    <ds:schemaRef ds:uri="9400876e-ab47-4e78-982a-0e7fd265c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E9B1C-C9F9-4D16-B453-FE93F1B82562}">
  <ds:schemaRefs>
    <ds:schemaRef ds:uri="http://schemas.microsoft.com/office/2006/metadata/properties"/>
    <ds:schemaRef ds:uri="http://schemas.microsoft.com/office/infopath/2007/PartnerControls"/>
    <ds:schemaRef ds:uri="http://schemas.microsoft.com/sharepoint/v3"/>
    <ds:schemaRef ds:uri="9f54d592-fb88-4430-a441-17b760fe14cb"/>
    <ds:schemaRef ds:uri="9400876e-ab47-4e78-982a-0e7fd265c6b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NHS Professionals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Powell</dc:creator>
  <cp:keywords/>
  <cp:lastModifiedBy>Paula Powell</cp:lastModifiedBy>
  <cp:revision>43</cp:revision>
  <cp:lastPrinted>2024-12-18T12:45:00Z</cp:lastPrinted>
  <dcterms:created xsi:type="dcterms:W3CDTF">2026-07-16T19:19:00Z</dcterms:created>
  <dcterms:modified xsi:type="dcterms:W3CDTF">2026-07-21T13:14:00Z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-922164412</vt:i4>
  </property>
  <property fmtid="{D5CDD505-2E9C-101B-9397-08002B2CF9AE}" pid="3" name="_NewReviewCycle">
    <vt:lpwstr/>
  </property>
  <property fmtid="{D5CDD505-2E9C-101B-9397-08002B2CF9AE}" pid="4" name="_EmailSubject">
    <vt:lpwstr>JD update</vt:lpwstr>
  </property>
  <property fmtid="{D5CDD505-2E9C-101B-9397-08002B2CF9AE}" pid="5" name="_AuthorEmail">
    <vt:lpwstr>Ayeesha.Corriette@NHSProfessionals.nhs.uk</vt:lpwstr>
  </property>
  <property fmtid="{D5CDD505-2E9C-101B-9397-08002B2CF9AE}" pid="6" name="_AuthorEmailDisplayName">
    <vt:lpwstr>Ayeesha Corriette</vt:lpwstr>
  </property>
  <property fmtid="{D5CDD505-2E9C-101B-9397-08002B2CF9AE}" pid="7" name="_PreviousAdHocReviewCycleID">
    <vt:i4>-686325087</vt:i4>
  </property>
  <property fmtid="{D5CDD505-2E9C-101B-9397-08002B2CF9AE}" pid="8" name="ContentTypeId">
    <vt:lpwstr>0x0101008AC71815E4ABF54FB5AA27CFBDFC73A7</vt:lpwstr>
  </property>
  <property fmtid="{D5CDD505-2E9C-101B-9397-08002B2CF9AE}" pid="9" name="_ReviewingToolsShownOnce">
    <vt:lpwstr/>
  </property>
  <property fmtid="{D5CDD505-2E9C-101B-9397-08002B2CF9AE}" pid="10" name="docLang">
    <vt:lpwstr>en</vt:lpwstr>
  </property>
</Properties>
</file>